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14C071">
      <w:pPr>
        <w:keepNext w:val="0"/>
        <w:keepLines w:val="0"/>
        <w:pageBreakBefore w:val="0"/>
        <w:widowControl w:val="0"/>
        <w:shd w:val="clear"/>
        <w:kinsoku/>
        <w:wordWrap/>
        <w:overflowPunct/>
        <w:topLinePunct w:val="0"/>
        <w:autoSpaceDE/>
        <w:autoSpaceDN/>
        <w:bidi w:val="0"/>
        <w:adjustRightInd/>
        <w:snapToGrid/>
        <w:spacing w:line="590" w:lineRule="exact"/>
        <w:ind w:left="0" w:leftChars="0" w:firstLine="0" w:firstLineChars="0"/>
        <w:jc w:val="center"/>
        <w:textAlignment w:val="auto"/>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rPr>
        <w:t>余杭区</w:t>
      </w:r>
      <w:r>
        <w:rPr>
          <w:rFonts w:hint="default" w:ascii="Times New Roman" w:hAnsi="Times New Roman" w:eastAsia="方正小标宋简体" w:cs="Times New Roman"/>
          <w:color w:val="auto"/>
          <w:sz w:val="44"/>
          <w:szCs w:val="44"/>
          <w:highlight w:val="none"/>
          <w:lang w:eastAsia="zh-CN"/>
        </w:rPr>
        <w:t>加快建设人工智能创新高地核心承载地的</w:t>
      </w:r>
      <w:r>
        <w:rPr>
          <w:rFonts w:hint="default" w:ascii="Times New Roman" w:hAnsi="Times New Roman" w:eastAsia="方正小标宋简体" w:cs="Times New Roman"/>
          <w:color w:val="auto"/>
          <w:sz w:val="44"/>
          <w:szCs w:val="44"/>
          <w:highlight w:val="none"/>
          <w:lang w:val="en-US" w:eastAsia="zh-CN"/>
        </w:rPr>
        <w:t>工作方案（2025年）</w:t>
      </w:r>
    </w:p>
    <w:p w14:paraId="6DF52376">
      <w:pPr>
        <w:keepNext w:val="0"/>
        <w:keepLines w:val="0"/>
        <w:pageBreakBefore w:val="0"/>
        <w:widowControl w:val="0"/>
        <w:shd w:val="clear"/>
        <w:kinsoku/>
        <w:wordWrap/>
        <w:overflowPunct/>
        <w:topLinePunct w:val="0"/>
        <w:autoSpaceDE/>
        <w:autoSpaceDN/>
        <w:bidi w:val="0"/>
        <w:adjustRightInd/>
        <w:snapToGrid/>
        <w:spacing w:line="590" w:lineRule="exact"/>
        <w:ind w:firstLine="0" w:firstLineChars="0"/>
        <w:jc w:val="center"/>
        <w:textAlignment w:val="auto"/>
        <w:rPr>
          <w:rFonts w:hint="default" w:ascii="Times New Roman" w:hAnsi="Times New Roman" w:eastAsia="楷体_GB2312" w:cs="Times New Roman"/>
          <w:color w:val="auto"/>
          <w:highlight w:val="none"/>
          <w:lang w:eastAsia="zh-CN"/>
        </w:rPr>
      </w:pPr>
      <w:r>
        <w:rPr>
          <w:rFonts w:hint="default" w:ascii="Times New Roman" w:hAnsi="Times New Roman" w:eastAsia="楷体_GB2312" w:cs="Times New Roman"/>
          <w:color w:val="auto"/>
          <w:highlight w:val="none"/>
          <w:lang w:eastAsia="zh-CN"/>
        </w:rPr>
        <w:t>（</w:t>
      </w:r>
      <w:r>
        <w:rPr>
          <w:rFonts w:hint="eastAsia" w:eastAsia="楷体_GB2312" w:cs="Times New Roman"/>
          <w:color w:val="auto"/>
          <w:highlight w:val="none"/>
          <w:lang w:eastAsia="zh-CN"/>
        </w:rPr>
        <w:t>征求意见</w:t>
      </w:r>
      <w:bookmarkStart w:id="0" w:name="_GoBack"/>
      <w:bookmarkEnd w:id="0"/>
      <w:r>
        <w:rPr>
          <w:rFonts w:hint="default" w:ascii="Times New Roman" w:hAnsi="Times New Roman" w:eastAsia="楷体_GB2312" w:cs="Times New Roman"/>
          <w:color w:val="auto"/>
          <w:highlight w:val="none"/>
          <w:lang w:val="en-US" w:eastAsia="zh-CN"/>
        </w:rPr>
        <w:t>稿</w:t>
      </w:r>
      <w:r>
        <w:rPr>
          <w:rFonts w:hint="default" w:ascii="Times New Roman" w:hAnsi="Times New Roman" w:eastAsia="楷体_GB2312" w:cs="Times New Roman"/>
          <w:color w:val="auto"/>
          <w:highlight w:val="none"/>
          <w:lang w:eastAsia="zh-CN"/>
        </w:rPr>
        <w:t>）</w:t>
      </w:r>
    </w:p>
    <w:p w14:paraId="1DDEAFB2">
      <w:pPr>
        <w:shd w:val="clear"/>
        <w:spacing w:beforeLines="0" w:afterLines="0" w:line="570" w:lineRule="exact"/>
        <w:ind w:firstLine="0" w:firstLineChars="0"/>
        <w:jc w:val="both"/>
        <w:rPr>
          <w:rFonts w:hint="default" w:ascii="Times New Roman" w:hAnsi="Times New Roman" w:eastAsia="楷体_GB2312" w:cs="Times New Roman"/>
          <w:color w:val="auto"/>
          <w:highlight w:val="none"/>
          <w:lang w:val="en-US" w:eastAsia="zh-CN"/>
        </w:rPr>
      </w:pPr>
    </w:p>
    <w:p w14:paraId="67EFB6DE">
      <w:pPr>
        <w:keepNext w:val="0"/>
        <w:keepLines w:val="0"/>
        <w:pageBreakBefore w:val="0"/>
        <w:widowControl w:val="0"/>
        <w:shd w:val="clear"/>
        <w:kinsoku/>
        <w:wordWrap/>
        <w:overflowPunct w:val="0"/>
        <w:topLinePunct/>
        <w:autoSpaceDE/>
        <w:autoSpaceDN/>
        <w:bidi w:val="0"/>
        <w:spacing w:line="570" w:lineRule="exact"/>
        <w:ind w:left="0" w:leftChars="0" w:firstLine="640" w:firstLineChars="200"/>
        <w:jc w:val="both"/>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为</w:t>
      </w:r>
      <w:r>
        <w:rPr>
          <w:rFonts w:hint="default" w:ascii="Times New Roman" w:hAnsi="Times New Roman" w:cs="Times New Roman"/>
          <w:color w:val="auto"/>
          <w:highlight w:val="none"/>
          <w:lang w:eastAsia="zh-CN"/>
        </w:rPr>
        <w:t>贯彻落实</w:t>
      </w:r>
      <w:r>
        <w:rPr>
          <w:rFonts w:hint="default" w:ascii="Times New Roman" w:hAnsi="Times New Roman" w:cs="Times New Roman"/>
          <w:color w:val="auto"/>
          <w:highlight w:val="none"/>
          <w:lang w:val="en-US" w:eastAsia="zh-CN"/>
        </w:rPr>
        <w:t>《浙江省人民政府印发关于支持人工智能创新发展的若干措施的通知》、《杭州市人民政府关于印发杭州市加快建设人工智能创新高地实施方案（2025年版）》等文件要求，</w:t>
      </w:r>
      <w:r>
        <w:rPr>
          <w:rFonts w:hint="default" w:ascii="Times New Roman" w:hAnsi="Times New Roman" w:cs="Times New Roman"/>
          <w:color w:val="auto"/>
          <w:highlight w:val="none"/>
          <w:lang w:eastAsia="zh-CN"/>
        </w:rPr>
        <w:t>发挥全省人工智能未来产业先导区优势，</w:t>
      </w:r>
      <w:r>
        <w:rPr>
          <w:rFonts w:hint="default" w:ascii="Times New Roman" w:hAnsi="Times New Roman" w:cs="Times New Roman"/>
          <w:color w:val="auto"/>
          <w:highlight w:val="none"/>
          <w:lang w:val="en-US" w:eastAsia="zh-CN"/>
        </w:rPr>
        <w:t>加快打造全国</w:t>
      </w:r>
      <w:r>
        <w:rPr>
          <w:rFonts w:hint="default" w:ascii="Times New Roman" w:hAnsi="Times New Roman" w:cs="Times New Roman"/>
          <w:color w:val="auto"/>
          <w:highlight w:val="none"/>
        </w:rPr>
        <w:t>人工智能</w:t>
      </w:r>
      <w:r>
        <w:rPr>
          <w:rFonts w:hint="default" w:ascii="Times New Roman" w:hAnsi="Times New Roman" w:cs="Times New Roman"/>
          <w:color w:val="auto"/>
          <w:highlight w:val="none"/>
          <w:lang w:val="en-US" w:eastAsia="zh-CN"/>
        </w:rPr>
        <w:t>高地核心承载地，特制定本方案。</w:t>
      </w:r>
    </w:p>
    <w:p w14:paraId="09EC946F">
      <w:pPr>
        <w:pStyle w:val="3"/>
        <w:keepNext w:val="0"/>
        <w:keepLines w:val="0"/>
        <w:pageBreakBefore w:val="0"/>
        <w:widowControl w:val="0"/>
        <w:numPr>
          <w:ilvl w:val="0"/>
          <w:numId w:val="2"/>
        </w:numPr>
        <w:shd w:val="clear"/>
        <w:kinsoku/>
        <w:wordWrap/>
        <w:overflowPunct w:val="0"/>
        <w:topLinePunct/>
        <w:autoSpaceDE/>
        <w:autoSpaceDN/>
        <w:bidi w:val="0"/>
        <w:spacing w:beforeLines="0" w:afterLines="0" w:line="570" w:lineRule="exact"/>
        <w:ind w:left="0" w:leftChars="0" w:firstLine="640" w:firstLineChars="200"/>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发展目标</w:t>
      </w:r>
    </w:p>
    <w:p w14:paraId="4BEAE635">
      <w:pPr>
        <w:keepNext w:val="0"/>
        <w:keepLines w:val="0"/>
        <w:pageBreakBefore w:val="0"/>
        <w:widowControl w:val="0"/>
        <w:shd w:val="clear"/>
        <w:kinsoku/>
        <w:wordWrap/>
        <w:overflowPunct w:val="0"/>
        <w:topLinePunct/>
        <w:autoSpaceDE/>
        <w:autoSpaceDN/>
        <w:bidi w:val="0"/>
        <w:spacing w:line="570" w:lineRule="exact"/>
        <w:ind w:left="0" w:leftChars="0" w:firstLine="640" w:firstLineChars="200"/>
        <w:jc w:val="both"/>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
        </w:rPr>
        <w:t>坚持市场主导</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
        </w:rPr>
        <w:t>政府引导、创新驱动、场景牵引、生态赋能，</w:t>
      </w:r>
      <w:r>
        <w:rPr>
          <w:rFonts w:hint="default" w:ascii="Times New Roman" w:hAnsi="Times New Roman" w:cs="Times New Roman"/>
          <w:color w:val="auto"/>
          <w:highlight w:val="none"/>
          <w:lang w:val="en-US" w:eastAsia="zh-CN"/>
        </w:rPr>
        <w:t>持续提升</w:t>
      </w:r>
      <w:r>
        <w:rPr>
          <w:rFonts w:hint="default" w:ascii="Times New Roman" w:hAnsi="Times New Roman" w:cs="Times New Roman"/>
          <w:b w:val="0"/>
          <w:bCs w:val="0"/>
          <w:color w:val="auto"/>
          <w:sz w:val="32"/>
          <w:szCs w:val="24"/>
          <w:highlight w:val="none"/>
          <w:lang w:val="en-US" w:eastAsia="zh-CN"/>
        </w:rPr>
        <w:t>数据、算力、算法综合供给能力，</w:t>
      </w:r>
      <w:r>
        <w:rPr>
          <w:rFonts w:hint="default" w:ascii="Times New Roman" w:hAnsi="Times New Roman" w:cs="Times New Roman"/>
          <w:b w:val="0"/>
          <w:bCs w:val="0"/>
          <w:color w:val="auto"/>
          <w:highlight w:val="none"/>
          <w:lang w:val="en-US" w:eastAsia="zh-CN"/>
        </w:rPr>
        <w:t>将余杭打造成为</w:t>
      </w:r>
      <w:r>
        <w:rPr>
          <w:rFonts w:hint="default" w:ascii="Times New Roman" w:hAnsi="Times New Roman" w:cs="Times New Roman"/>
          <w:color w:val="auto"/>
          <w:highlight w:val="none"/>
          <w:lang w:val="en-US" w:eastAsia="zh-CN"/>
        </w:rPr>
        <w:t>人工智能创新高地核心承载地</w:t>
      </w:r>
      <w:r>
        <w:rPr>
          <w:rFonts w:hint="default" w:ascii="Times New Roman" w:hAnsi="Times New Roman" w:cs="Times New Roman"/>
          <w:color w:val="auto"/>
          <w:highlight w:val="none"/>
          <w:lang w:val="en-US" w:eastAsia="zh"/>
        </w:rPr>
        <w:t>。</w:t>
      </w:r>
      <w:r>
        <w:rPr>
          <w:rFonts w:hint="default" w:ascii="Times New Roman" w:hAnsi="Times New Roman" w:cs="Times New Roman"/>
          <w:color w:val="auto"/>
          <w:highlight w:val="none"/>
          <w:lang w:val="en-US" w:eastAsia="zh-CN"/>
        </w:rPr>
        <w:t>到2025年底，全区人工智能核心产业营业收入突破1000亿元，规模以上企业超180家；累计</w:t>
      </w:r>
      <w:r>
        <w:rPr>
          <w:rFonts w:hint="default" w:ascii="Times New Roman" w:hAnsi="Times New Roman" w:cs="Times New Roman"/>
          <w:b w:val="0"/>
          <w:bCs/>
          <w:color w:val="auto"/>
          <w:highlight w:val="none"/>
          <w:lang w:val="en-US" w:eastAsia="zh-CN"/>
        </w:rPr>
        <w:t>培育全球领先的基础大模型1个以上，行业领先的垂直大模型5个以上</w:t>
      </w:r>
      <w:r>
        <w:rPr>
          <w:rFonts w:hint="default" w:ascii="Times New Roman" w:hAnsi="Times New Roman" w:cs="Times New Roman"/>
          <w:color w:val="auto"/>
          <w:highlight w:val="none"/>
          <w:lang w:val="en-US" w:eastAsia="zh-CN"/>
        </w:rPr>
        <w:t>，</w:t>
      </w:r>
      <w:r>
        <w:rPr>
          <w:rFonts w:hint="default" w:ascii="Times New Roman" w:hAnsi="Times New Roman" w:eastAsia="仿宋_GB2312" w:cs="Times New Roman"/>
          <w:b w:val="0"/>
          <w:bCs/>
          <w:snapToGrid/>
          <w:color w:val="auto"/>
          <w:spacing w:val="0"/>
          <w:kern w:val="2"/>
          <w:sz w:val="32"/>
          <w:szCs w:val="32"/>
          <w:highlight w:val="none"/>
          <w:u w:val="none"/>
          <w:lang w:val="en-US" w:eastAsia="zh-CN" w:bidi="ar"/>
        </w:rPr>
        <w:t>“浙江数商”</w:t>
      </w:r>
      <w:r>
        <w:rPr>
          <w:rFonts w:hint="default" w:ascii="Times New Roman" w:hAnsi="Times New Roman" w:cs="Times New Roman"/>
          <w:b w:val="0"/>
          <w:bCs/>
          <w:snapToGrid/>
          <w:color w:val="auto"/>
          <w:spacing w:val="0"/>
          <w:kern w:val="2"/>
          <w:sz w:val="32"/>
          <w:szCs w:val="32"/>
          <w:highlight w:val="none"/>
          <w:u w:val="none"/>
          <w:lang w:val="en-US" w:eastAsia="zh-CN" w:bidi="ar"/>
        </w:rPr>
        <w:t>累计</w:t>
      </w:r>
      <w:r>
        <w:rPr>
          <w:rFonts w:hint="default" w:ascii="Times New Roman" w:hAnsi="Times New Roman" w:eastAsia="仿宋_GB2312" w:cs="Times New Roman"/>
          <w:b w:val="0"/>
          <w:bCs/>
          <w:snapToGrid/>
          <w:color w:val="auto"/>
          <w:spacing w:val="0"/>
          <w:kern w:val="2"/>
          <w:sz w:val="32"/>
          <w:szCs w:val="32"/>
          <w:highlight w:val="none"/>
          <w:u w:val="none"/>
          <w:lang w:val="en-US" w:eastAsia="zh-CN" w:bidi="ar"/>
        </w:rPr>
        <w:t>达</w:t>
      </w:r>
      <w:r>
        <w:rPr>
          <w:rFonts w:hint="default" w:ascii="Times New Roman" w:hAnsi="Times New Roman" w:cs="Times New Roman"/>
          <w:b w:val="0"/>
          <w:bCs/>
          <w:snapToGrid/>
          <w:color w:val="auto"/>
          <w:spacing w:val="0"/>
          <w:kern w:val="2"/>
          <w:sz w:val="32"/>
          <w:szCs w:val="32"/>
          <w:highlight w:val="none"/>
          <w:u w:val="none"/>
          <w:lang w:val="en-US" w:eastAsia="zh-CN" w:bidi="ar"/>
        </w:rPr>
        <w:t>15</w:t>
      </w:r>
      <w:r>
        <w:rPr>
          <w:rFonts w:hint="default" w:ascii="Times New Roman" w:hAnsi="Times New Roman" w:eastAsia="仿宋_GB2312" w:cs="Times New Roman"/>
          <w:b w:val="0"/>
          <w:bCs/>
          <w:snapToGrid/>
          <w:color w:val="auto"/>
          <w:spacing w:val="0"/>
          <w:kern w:val="2"/>
          <w:sz w:val="32"/>
          <w:szCs w:val="32"/>
          <w:highlight w:val="none"/>
          <w:u w:val="none"/>
          <w:lang w:val="en-US" w:eastAsia="zh-CN" w:bidi="ar"/>
        </w:rPr>
        <w:t>家</w:t>
      </w:r>
      <w:r>
        <w:rPr>
          <w:rFonts w:hint="default" w:ascii="Times New Roman" w:hAnsi="Times New Roman" w:cs="Times New Roman"/>
          <w:color w:val="auto"/>
          <w:highlight w:val="none"/>
          <w:lang w:val="en-US" w:eastAsia="zh-CN"/>
        </w:rPr>
        <w:t>，投入市场的智算规模超过20EFLOPS</w:t>
      </w:r>
      <w:r>
        <w:rPr>
          <w:rFonts w:hint="default" w:ascii="Times New Roman" w:hAnsi="Times New Roman" w:cs="Times New Roman"/>
          <w:b w:val="0"/>
          <w:bCs/>
          <w:color w:val="auto"/>
          <w:highlight w:val="none"/>
          <w:lang w:val="en-US" w:eastAsia="zh-CN"/>
        </w:rPr>
        <w:t>。</w:t>
      </w:r>
      <w:r>
        <w:rPr>
          <w:rFonts w:hint="default" w:ascii="Times New Roman" w:hAnsi="Times New Roman" w:cs="Times New Roman"/>
          <w:color w:val="auto"/>
          <w:highlight w:val="none"/>
          <w:lang w:val="en-US" w:eastAsia="zh-CN"/>
        </w:rPr>
        <w:t>人工智能生态持续完善，累计投向人工智能方向基金规模突破300亿元，在制造、医疗、社会治理等领域培育形成10个以上具有引领示范作用的“人工智能+”应用场景。</w:t>
      </w:r>
    </w:p>
    <w:p w14:paraId="57C50841">
      <w:pPr>
        <w:pStyle w:val="3"/>
        <w:keepNext w:val="0"/>
        <w:keepLines w:val="0"/>
        <w:pageBreakBefore w:val="0"/>
        <w:widowControl w:val="0"/>
        <w:numPr>
          <w:ilvl w:val="0"/>
          <w:numId w:val="2"/>
        </w:numPr>
        <w:shd w:val="clear"/>
        <w:kinsoku/>
        <w:wordWrap/>
        <w:overflowPunct w:val="0"/>
        <w:topLinePunct/>
        <w:autoSpaceDE/>
        <w:autoSpaceDN/>
        <w:bidi w:val="0"/>
        <w:spacing w:beforeLines="0" w:afterLines="0" w:line="570" w:lineRule="exact"/>
        <w:ind w:left="0" w:leftChars="0" w:firstLine="640" w:firstLineChars="200"/>
        <w:jc w:val="both"/>
        <w:rPr>
          <w:rFonts w:hint="default" w:ascii="Times New Roman" w:hAnsi="Times New Roman" w:eastAsia="黑体" w:cs="Times New Roman"/>
          <w:color w:val="auto"/>
          <w:highlight w:val="none"/>
          <w:lang w:val="en-US" w:eastAsia="zh-CN"/>
        </w:rPr>
      </w:pPr>
      <w:r>
        <w:rPr>
          <w:rFonts w:hint="default" w:ascii="Times New Roman" w:hAnsi="Times New Roman" w:cs="Times New Roman"/>
          <w:color w:val="auto"/>
          <w:highlight w:val="none"/>
          <w:lang w:val="en-US" w:eastAsia="zh-CN"/>
        </w:rPr>
        <w:t>主攻方向</w:t>
      </w:r>
    </w:p>
    <w:p w14:paraId="555CAB9A">
      <w:pPr>
        <w:keepNext w:val="0"/>
        <w:keepLines w:val="0"/>
        <w:pageBreakBefore w:val="0"/>
        <w:widowControl w:val="0"/>
        <w:shd w:val="clear"/>
        <w:kinsoku/>
        <w:wordWrap/>
        <w:overflowPunct w:val="0"/>
        <w:topLinePunct/>
        <w:autoSpaceDE/>
        <w:autoSpaceDN/>
        <w:bidi w:val="0"/>
        <w:spacing w:line="570" w:lineRule="exact"/>
        <w:ind w:left="0" w:leftChars="0" w:firstLine="640" w:firstLineChars="200"/>
        <w:jc w:val="both"/>
        <w:rPr>
          <w:rFonts w:hint="default" w:ascii="Times New Roman" w:hAnsi="Times New Roman" w:cs="Times New Roman"/>
          <w:highlight w:val="none"/>
          <w:lang w:val="en-US" w:eastAsia="zh-CN"/>
        </w:rPr>
      </w:pPr>
      <w:r>
        <w:rPr>
          <w:rFonts w:hint="default" w:ascii="Times New Roman" w:hAnsi="Times New Roman" w:cs="Times New Roman"/>
          <w:color w:val="auto"/>
          <w:highlight w:val="none"/>
          <w:lang w:eastAsia="zh"/>
        </w:rPr>
        <w:t>人工智能</w:t>
      </w:r>
      <w:r>
        <w:rPr>
          <w:rFonts w:hint="default" w:ascii="Times New Roman" w:hAnsi="Times New Roman" w:cs="Times New Roman"/>
          <w:color w:val="auto"/>
          <w:highlight w:val="none"/>
          <w:lang w:val="en-US" w:eastAsia="zh-CN"/>
        </w:rPr>
        <w:t>产业是以数据、算力、算法模型为核心，交叉赋能金融、物流、办公、营销、制造、医疗等传统领域，带动促进低空经济、具身智能、类脑智能等前沿未来领域发展</w:t>
      </w:r>
      <w:r>
        <w:rPr>
          <w:rFonts w:hint="default" w:ascii="Times New Roman" w:hAnsi="Times New Roman" w:cs="Times New Roman"/>
          <w:color w:val="auto"/>
          <w:highlight w:val="none"/>
          <w:lang w:eastAsia="zh"/>
        </w:rPr>
        <w:t>的系统、产品和服务</w:t>
      </w:r>
      <w:r>
        <w:rPr>
          <w:rFonts w:hint="default" w:ascii="Times New Roman" w:hAnsi="Times New Roman" w:cs="Times New Roman"/>
          <w:color w:val="auto"/>
          <w:highlight w:val="none"/>
          <w:lang w:val="en-US" w:eastAsia="zh-CN"/>
        </w:rPr>
        <w:t>的总和。结合我区发展实际，主攻以下三个方面：</w:t>
      </w:r>
    </w:p>
    <w:p w14:paraId="705CA0E9">
      <w:pPr>
        <w:pStyle w:val="4"/>
        <w:keepNext w:val="0"/>
        <w:keepLines w:val="0"/>
        <w:pageBreakBefore w:val="0"/>
        <w:widowControl w:val="0"/>
        <w:numPr>
          <w:ilvl w:val="0"/>
          <w:numId w:val="3"/>
        </w:numPr>
        <w:shd w:val="clear"/>
        <w:kinsoku/>
        <w:wordWrap/>
        <w:overflowPunct w:val="0"/>
        <w:topLinePunct/>
        <w:autoSpaceDE/>
        <w:autoSpaceDN/>
        <w:bidi w:val="0"/>
        <w:adjustRightInd/>
        <w:snapToGrid/>
        <w:spacing w:line="570" w:lineRule="exact"/>
        <w:ind w:left="0" w:leftChars="0" w:firstLine="64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发挥算力优势，加快发展人工智能核心领域</w:t>
      </w:r>
    </w:p>
    <w:p w14:paraId="3FF71167">
      <w:pPr>
        <w:keepNext w:val="0"/>
        <w:keepLines w:val="0"/>
        <w:pageBreakBefore w:val="0"/>
        <w:widowControl w:val="0"/>
        <w:shd w:val="clear"/>
        <w:kinsoku/>
        <w:wordWrap/>
        <w:overflowPunct w:val="0"/>
        <w:topLinePunct/>
        <w:autoSpaceDE/>
        <w:autoSpaceDN/>
        <w:bidi w:val="0"/>
        <w:adjustRightInd/>
        <w:snapToGrid/>
        <w:spacing w:line="570" w:lineRule="exact"/>
        <w:ind w:left="0" w:leftChars="0" w:firstLine="643"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b/>
          <w:bCs/>
          <w:color w:val="auto"/>
          <w:highlight w:val="none"/>
          <w:lang w:val="en-US" w:eastAsia="zh-CN"/>
        </w:rPr>
        <w:t>AI基础设施领域，</w:t>
      </w:r>
      <w:r>
        <w:rPr>
          <w:rFonts w:hint="default" w:ascii="Times New Roman" w:hAnsi="Times New Roman" w:cs="Times New Roman"/>
          <w:color w:val="auto"/>
          <w:highlight w:val="none"/>
          <w:lang w:val="en-US" w:eastAsia="zh-CN"/>
        </w:rPr>
        <w:t>推进新型算力体系建设，打造全国算力综合成本洼地。加快推进国家数据基础设施建设工作，打造高质量数据集。</w:t>
      </w:r>
      <w:r>
        <w:rPr>
          <w:rFonts w:hint="default" w:ascii="Times New Roman" w:hAnsi="Times New Roman" w:cs="Times New Roman"/>
          <w:b/>
          <w:bCs/>
          <w:color w:val="auto"/>
          <w:highlight w:val="none"/>
          <w:lang w:val="en-US" w:eastAsia="zh-CN"/>
        </w:rPr>
        <w:t>智能算力领域，</w:t>
      </w:r>
      <w:r>
        <w:rPr>
          <w:rFonts w:hint="default" w:ascii="Times New Roman" w:hAnsi="Times New Roman" w:cs="Times New Roman"/>
          <w:color w:val="auto"/>
          <w:highlight w:val="none"/>
          <w:lang w:val="en-US" w:eastAsia="zh-CN"/>
        </w:rPr>
        <w:t>研发基于RISC-V架构的大模型训练推理芯片、算力服务器、算力调度平台等基础软硬件。</w:t>
      </w:r>
      <w:r>
        <w:rPr>
          <w:rFonts w:hint="default" w:ascii="Times New Roman" w:hAnsi="Times New Roman" w:cs="Times New Roman"/>
          <w:b/>
          <w:bCs/>
          <w:color w:val="auto"/>
          <w:highlight w:val="none"/>
          <w:lang w:val="en-US" w:eastAsia="zh-CN"/>
        </w:rPr>
        <w:t>算法模型领域，</w:t>
      </w:r>
      <w:r>
        <w:rPr>
          <w:rFonts w:hint="default" w:ascii="Times New Roman" w:hAnsi="Times New Roman" w:cs="Times New Roman"/>
          <w:color w:val="auto"/>
          <w:highlight w:val="none"/>
          <w:lang w:val="en-US" w:eastAsia="zh-CN"/>
        </w:rPr>
        <w:t>支持“通义千问”研发训练与迭代，打造具有国际竞争力的通用大模型；在科研、物流等领域，支持一批垂类模型项目。</w:t>
      </w:r>
      <w:r>
        <w:rPr>
          <w:rFonts w:hint="default" w:ascii="Times New Roman" w:hAnsi="Times New Roman" w:cs="Times New Roman"/>
          <w:b/>
          <w:bCs/>
          <w:color w:val="auto"/>
          <w:highlight w:val="none"/>
          <w:lang w:val="en-US" w:eastAsia="zh-CN"/>
        </w:rPr>
        <w:t>数据服务领域，</w:t>
      </w:r>
      <w:r>
        <w:rPr>
          <w:rFonts w:hint="default" w:ascii="Times New Roman" w:hAnsi="Times New Roman" w:cs="Times New Roman"/>
          <w:color w:val="auto"/>
          <w:highlight w:val="none"/>
          <w:lang w:val="en-US" w:eastAsia="zh-CN"/>
        </w:rPr>
        <w:t>实施数据产业高质量发展三年行动，强化政策牵引，引培数据集成、数据经纪、资产评估等专业服务机构。</w:t>
      </w:r>
    </w:p>
    <w:p w14:paraId="2C0D4848">
      <w:pPr>
        <w:pStyle w:val="4"/>
        <w:keepNext w:val="0"/>
        <w:keepLines w:val="0"/>
        <w:pageBreakBefore w:val="0"/>
        <w:widowControl w:val="0"/>
        <w:numPr>
          <w:ilvl w:val="0"/>
          <w:numId w:val="3"/>
        </w:numPr>
        <w:shd w:val="clear"/>
        <w:kinsoku/>
        <w:wordWrap/>
        <w:overflowPunct w:val="0"/>
        <w:topLinePunct/>
        <w:autoSpaceDE/>
        <w:autoSpaceDN/>
        <w:bidi w:val="0"/>
        <w:spacing w:line="570" w:lineRule="exact"/>
        <w:ind w:left="0" w:leftChars="0" w:firstLine="640" w:firstLineChars="200"/>
        <w:jc w:val="both"/>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发挥软件优势，赋能发展人工智能交叉领域</w:t>
      </w:r>
    </w:p>
    <w:p w14:paraId="5403F2F0">
      <w:pPr>
        <w:keepNext w:val="0"/>
        <w:keepLines w:val="0"/>
        <w:pageBreakBefore w:val="0"/>
        <w:widowControl w:val="0"/>
        <w:shd w:val="clear"/>
        <w:kinsoku/>
        <w:wordWrap/>
        <w:overflowPunct w:val="0"/>
        <w:topLinePunct/>
        <w:autoSpaceDE/>
        <w:autoSpaceDN/>
        <w:bidi w:val="0"/>
        <w:spacing w:line="570" w:lineRule="exact"/>
        <w:ind w:left="0" w:leftChars="0" w:firstLine="643" w:firstLineChars="200"/>
        <w:jc w:val="both"/>
        <w:rPr>
          <w:rFonts w:hint="default" w:ascii="Times New Roman" w:hAnsi="Times New Roman" w:cs="Times New Roman"/>
          <w:b w:val="0"/>
          <w:bCs/>
          <w:color w:val="auto"/>
          <w:highlight w:val="none"/>
          <w:lang w:val="en-US" w:eastAsia="zh-CN"/>
        </w:rPr>
      </w:pPr>
      <w:r>
        <w:rPr>
          <w:rFonts w:hint="default" w:ascii="Times New Roman" w:hAnsi="Times New Roman" w:cs="Times New Roman"/>
          <w:b/>
          <w:bCs w:val="0"/>
          <w:color w:val="auto"/>
          <w:highlight w:val="none"/>
          <w:lang w:val="en-US" w:eastAsia="zh-CN"/>
        </w:rPr>
        <w:t>营销服务智能体领域，</w:t>
      </w:r>
      <w:r>
        <w:rPr>
          <w:rFonts w:hint="default" w:ascii="Times New Roman" w:hAnsi="Times New Roman" w:cs="Times New Roman"/>
          <w:b w:val="0"/>
          <w:bCs/>
          <w:color w:val="auto"/>
          <w:highlight w:val="none"/>
          <w:lang w:val="en-US" w:eastAsia="zh-CN"/>
        </w:rPr>
        <w:t>开发智能推荐系统、自动化决策系统、3D数字人交互系统等。</w:t>
      </w:r>
      <w:r>
        <w:rPr>
          <w:rFonts w:hint="default" w:ascii="Times New Roman" w:hAnsi="Times New Roman" w:cs="Times New Roman"/>
          <w:b/>
          <w:bCs w:val="0"/>
          <w:color w:val="auto"/>
          <w:highlight w:val="none"/>
          <w:lang w:val="en-US" w:eastAsia="zh-CN"/>
        </w:rPr>
        <w:t>办公智能体领域</w:t>
      </w:r>
      <w:r>
        <w:rPr>
          <w:rFonts w:hint="default" w:ascii="Times New Roman" w:hAnsi="Times New Roman" w:cs="Times New Roman"/>
          <w:b w:val="0"/>
          <w:bCs/>
          <w:color w:val="auto"/>
          <w:highlight w:val="none"/>
          <w:lang w:val="en-US" w:eastAsia="zh-CN"/>
        </w:rPr>
        <w:t>，提升办公软件数据分析、决策支持等功能，推动RPA向IPA发展。</w:t>
      </w:r>
      <w:r>
        <w:rPr>
          <w:rFonts w:hint="default" w:ascii="Times New Roman" w:hAnsi="Times New Roman" w:cs="Times New Roman"/>
          <w:b/>
          <w:bCs w:val="0"/>
          <w:color w:val="auto"/>
          <w:highlight w:val="none"/>
          <w:lang w:val="en-US" w:eastAsia="zh-CN"/>
        </w:rPr>
        <w:t>医疗智能体领域，</w:t>
      </w:r>
      <w:r>
        <w:rPr>
          <w:rFonts w:hint="default" w:ascii="Times New Roman" w:hAnsi="Times New Roman" w:cs="Times New Roman"/>
          <w:b w:val="0"/>
          <w:bCs/>
          <w:color w:val="auto"/>
          <w:highlight w:val="none"/>
          <w:lang w:val="en-US" w:eastAsia="zh-CN"/>
        </w:rPr>
        <w:t>开发病历结构化与检索、影像报告解读和辅助诊断等功能的医疗智能体，嵌入医疗健康服务全流程。</w:t>
      </w:r>
      <w:r>
        <w:rPr>
          <w:rFonts w:hint="default" w:ascii="Times New Roman" w:hAnsi="Times New Roman" w:cs="Times New Roman"/>
          <w:b/>
          <w:bCs w:val="0"/>
          <w:color w:val="auto"/>
          <w:highlight w:val="none"/>
          <w:lang w:val="en-US" w:eastAsia="zh-CN"/>
        </w:rPr>
        <w:t>物流智能体领域，</w:t>
      </w:r>
      <w:r>
        <w:rPr>
          <w:rFonts w:hint="default" w:ascii="Times New Roman" w:hAnsi="Times New Roman" w:cs="Times New Roman"/>
          <w:b w:val="0"/>
          <w:bCs/>
          <w:color w:val="auto"/>
          <w:highlight w:val="none"/>
          <w:lang w:val="en-US" w:eastAsia="zh-CN"/>
        </w:rPr>
        <w:t>开发智能仓管、智能调度等场景智能体，提升物流各环节效率。</w:t>
      </w:r>
      <w:r>
        <w:rPr>
          <w:rFonts w:hint="default" w:ascii="Times New Roman" w:hAnsi="Times New Roman" w:cs="Times New Roman"/>
          <w:b/>
          <w:bCs w:val="0"/>
          <w:color w:val="auto"/>
          <w:highlight w:val="none"/>
          <w:lang w:val="en-US" w:eastAsia="zh-CN"/>
        </w:rPr>
        <w:t>文娱智能体领域</w:t>
      </w:r>
      <w:r>
        <w:rPr>
          <w:rFonts w:hint="default" w:ascii="Times New Roman" w:hAnsi="Times New Roman" w:cs="Times New Roman"/>
          <w:b w:val="0"/>
          <w:bCs/>
          <w:color w:val="auto"/>
          <w:highlight w:val="none"/>
          <w:lang w:val="en-US" w:eastAsia="zh-CN"/>
        </w:rPr>
        <w:t>，集聚影视内容生成设计、内容审查、短视频运营等智能体开发主体。</w:t>
      </w:r>
      <w:r>
        <w:rPr>
          <w:rFonts w:hint="default" w:ascii="Times New Roman" w:hAnsi="Times New Roman" w:cs="Times New Roman"/>
          <w:b/>
          <w:bCs w:val="0"/>
          <w:color w:val="auto"/>
          <w:highlight w:val="none"/>
          <w:lang w:val="en-US" w:eastAsia="zh-CN"/>
        </w:rPr>
        <w:t>金融智能体领域</w:t>
      </w:r>
      <w:r>
        <w:rPr>
          <w:rFonts w:hint="default" w:ascii="Times New Roman" w:hAnsi="Times New Roman" w:cs="Times New Roman"/>
          <w:b w:val="0"/>
          <w:bCs/>
          <w:color w:val="auto"/>
          <w:highlight w:val="none"/>
          <w:lang w:val="en-US" w:eastAsia="zh-CN"/>
        </w:rPr>
        <w:t>，开发金融投资助理、投资研究、投资顾问等场景智能体。</w:t>
      </w:r>
    </w:p>
    <w:p w14:paraId="1E80CD87">
      <w:pPr>
        <w:pStyle w:val="4"/>
        <w:keepNext w:val="0"/>
        <w:keepLines w:val="0"/>
        <w:pageBreakBefore w:val="0"/>
        <w:widowControl w:val="0"/>
        <w:numPr>
          <w:ilvl w:val="0"/>
          <w:numId w:val="3"/>
        </w:numPr>
        <w:shd w:val="clear"/>
        <w:kinsoku/>
        <w:wordWrap/>
        <w:overflowPunct w:val="0"/>
        <w:topLinePunct/>
        <w:autoSpaceDE/>
        <w:autoSpaceDN/>
        <w:bidi w:val="0"/>
        <w:spacing w:line="570" w:lineRule="exact"/>
        <w:ind w:left="0" w:leftChars="0" w:firstLine="640" w:firstLineChars="200"/>
        <w:jc w:val="both"/>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发挥科创优势，协同发展泛人工智能领域</w:t>
      </w:r>
    </w:p>
    <w:p w14:paraId="2C5ACD29">
      <w:pPr>
        <w:keepNext w:val="0"/>
        <w:keepLines w:val="0"/>
        <w:pageBreakBefore w:val="0"/>
        <w:widowControl w:val="0"/>
        <w:shd w:val="clear"/>
        <w:kinsoku/>
        <w:wordWrap/>
        <w:overflowPunct w:val="0"/>
        <w:topLinePunct/>
        <w:autoSpaceDE/>
        <w:autoSpaceDN/>
        <w:bidi w:val="0"/>
        <w:spacing w:line="570" w:lineRule="exact"/>
        <w:ind w:left="0" w:leftChars="0" w:firstLine="643" w:firstLineChars="200"/>
        <w:jc w:val="both"/>
        <w:rPr>
          <w:rFonts w:hint="default" w:ascii="Times New Roman" w:hAnsi="Times New Roman" w:cs="Times New Roman"/>
          <w:b w:val="0"/>
          <w:bCs/>
          <w:color w:val="auto"/>
          <w:highlight w:val="none"/>
          <w:lang w:val="en-US" w:eastAsia="zh-CN"/>
        </w:rPr>
      </w:pPr>
      <w:r>
        <w:rPr>
          <w:rFonts w:hint="default" w:ascii="Times New Roman" w:hAnsi="Times New Roman" w:cs="Times New Roman"/>
          <w:b/>
          <w:bCs w:val="0"/>
          <w:color w:val="auto"/>
          <w:highlight w:val="none"/>
          <w:lang w:val="en-US" w:eastAsia="zh-CN"/>
        </w:rPr>
        <w:t>具身智能领域，</w:t>
      </w:r>
      <w:r>
        <w:rPr>
          <w:rFonts w:hint="default" w:ascii="Times New Roman" w:hAnsi="Times New Roman" w:cs="Times New Roman"/>
          <w:b w:val="0"/>
          <w:bCs/>
          <w:color w:val="auto"/>
          <w:highlight w:val="none"/>
          <w:lang w:val="en-US" w:eastAsia="zh-CN"/>
        </w:rPr>
        <w:t>开展“最强大脑”“最强本体”等关键技术攻关，引进核心零部件等环节企业，加快具身智能落地应用。</w:t>
      </w:r>
      <w:r>
        <w:rPr>
          <w:rFonts w:hint="default" w:ascii="Times New Roman" w:hAnsi="Times New Roman" w:cs="Times New Roman"/>
          <w:b/>
          <w:bCs w:val="0"/>
          <w:color w:val="auto"/>
          <w:highlight w:val="none"/>
          <w:lang w:val="en-US" w:eastAsia="zh-CN"/>
        </w:rPr>
        <w:t>低空经济领域，</w:t>
      </w:r>
      <w:r>
        <w:rPr>
          <w:rFonts w:hint="default" w:ascii="Times New Roman" w:hAnsi="Times New Roman" w:cs="Times New Roman"/>
          <w:b w:val="0"/>
          <w:bCs/>
          <w:color w:val="auto"/>
          <w:highlight w:val="none"/>
          <w:lang w:val="en-US" w:eastAsia="zh-CN"/>
        </w:rPr>
        <w:t>加强无人机及eVTOL研发设计，突破定位导航、视觉通信等关键核心技术，推进无人物流等空地一体商业化应用服务。</w:t>
      </w:r>
      <w:r>
        <w:rPr>
          <w:rFonts w:hint="default" w:ascii="Times New Roman" w:hAnsi="Times New Roman" w:cs="Times New Roman"/>
          <w:b/>
          <w:bCs w:val="0"/>
          <w:color w:val="auto"/>
          <w:highlight w:val="none"/>
          <w:lang w:val="en-US" w:eastAsia="zh-CN"/>
        </w:rPr>
        <w:t>类脑智能领域，</w:t>
      </w:r>
      <w:r>
        <w:rPr>
          <w:rFonts w:hint="default" w:ascii="Times New Roman" w:hAnsi="Times New Roman" w:cs="Times New Roman"/>
          <w:b w:val="0"/>
          <w:bCs/>
          <w:color w:val="auto"/>
          <w:highlight w:val="none"/>
          <w:lang w:val="en-US" w:eastAsia="zh-CN"/>
        </w:rPr>
        <w:t>突破类脑感算存一体芯片、类脑网络学习框架等，加快生物传感芯片、脑机治疗仪器等技术产品突破。</w:t>
      </w:r>
      <w:r>
        <w:rPr>
          <w:rFonts w:hint="default" w:ascii="Times New Roman" w:hAnsi="Times New Roman" w:cs="Times New Roman"/>
          <w:b/>
          <w:bCs w:val="0"/>
          <w:color w:val="auto"/>
          <w:highlight w:val="none"/>
          <w:lang w:val="en-US" w:eastAsia="zh-CN"/>
        </w:rPr>
        <w:t>视觉智能领域，</w:t>
      </w:r>
      <w:r>
        <w:rPr>
          <w:rFonts w:hint="default" w:ascii="Times New Roman" w:hAnsi="Times New Roman" w:cs="Times New Roman"/>
          <w:b w:val="0"/>
          <w:bCs/>
          <w:color w:val="auto"/>
          <w:highlight w:val="none"/>
          <w:lang w:val="en-US" w:eastAsia="zh-CN"/>
        </w:rPr>
        <w:t>开展基于大模型的特征识别、视频理解等技术融合应用，拓展治安、工业、应急、智能网联车等场景应用和终端设备。</w:t>
      </w:r>
      <w:r>
        <w:rPr>
          <w:rFonts w:hint="default" w:ascii="Times New Roman" w:hAnsi="Times New Roman" w:cs="Times New Roman"/>
          <w:b/>
          <w:bCs w:val="0"/>
          <w:color w:val="auto"/>
          <w:highlight w:val="none"/>
          <w:lang w:val="en-US" w:eastAsia="zh-CN"/>
        </w:rPr>
        <w:t>智能消费电子领域，</w:t>
      </w:r>
      <w:r>
        <w:rPr>
          <w:rFonts w:hint="default" w:ascii="Times New Roman" w:hAnsi="Times New Roman" w:cs="Times New Roman"/>
          <w:b w:val="0"/>
          <w:bCs/>
          <w:color w:val="auto"/>
          <w:highlight w:val="none"/>
          <w:lang w:val="en-US" w:eastAsia="zh-CN"/>
        </w:rPr>
        <w:t>围绕家庭陪护、全屋智能、运动健身等应用领域，发展音箱、眼镜、手环等智能可穿戴设备产品。</w:t>
      </w:r>
    </w:p>
    <w:p w14:paraId="432811A4">
      <w:pPr>
        <w:pStyle w:val="3"/>
        <w:keepNext w:val="0"/>
        <w:keepLines w:val="0"/>
        <w:pageBreakBefore w:val="0"/>
        <w:widowControl w:val="0"/>
        <w:numPr>
          <w:ilvl w:val="0"/>
          <w:numId w:val="2"/>
        </w:numPr>
        <w:shd w:val="clear"/>
        <w:kinsoku/>
        <w:wordWrap/>
        <w:overflowPunct w:val="0"/>
        <w:topLinePunct/>
        <w:autoSpaceDE/>
        <w:autoSpaceDN/>
        <w:bidi w:val="0"/>
        <w:spacing w:beforeLines="0" w:afterLines="0" w:line="570" w:lineRule="exact"/>
        <w:ind w:left="0" w:leftChars="0" w:firstLine="640" w:firstLineChars="200"/>
        <w:jc w:val="both"/>
        <w:rPr>
          <w:rFonts w:hint="default" w:ascii="Times New Roman" w:hAnsi="Times New Roman" w:eastAsia="黑体" w:cs="Times New Roman"/>
          <w:color w:val="auto"/>
          <w:highlight w:val="none"/>
          <w:lang w:val="en-US" w:eastAsia="zh-CN"/>
        </w:rPr>
      </w:pPr>
      <w:r>
        <w:rPr>
          <w:rFonts w:hint="default" w:ascii="Times New Roman" w:hAnsi="Times New Roman" w:cs="Times New Roman"/>
          <w:color w:val="auto"/>
          <w:highlight w:val="none"/>
          <w:lang w:val="en-US" w:eastAsia="zh-CN"/>
        </w:rPr>
        <w:t>主要任务</w:t>
      </w:r>
    </w:p>
    <w:p w14:paraId="6CA92CC9">
      <w:pPr>
        <w:pStyle w:val="4"/>
        <w:keepNext w:val="0"/>
        <w:keepLines w:val="0"/>
        <w:pageBreakBefore w:val="0"/>
        <w:widowControl w:val="0"/>
        <w:numPr>
          <w:ilvl w:val="0"/>
          <w:numId w:val="4"/>
        </w:numPr>
        <w:shd w:val="clear"/>
        <w:kinsoku/>
        <w:wordWrap/>
        <w:overflowPunct w:val="0"/>
        <w:topLinePunct/>
        <w:autoSpaceDE/>
        <w:autoSpaceDN/>
        <w:bidi w:val="0"/>
        <w:spacing w:line="570" w:lineRule="exact"/>
        <w:ind w:left="0" w:leftChars="0" w:firstLine="640" w:firstLineChars="200"/>
        <w:jc w:val="both"/>
        <w:rPr>
          <w:rFonts w:hint="default" w:ascii="Times New Roman" w:hAnsi="Times New Roman" w:eastAsia="楷体_GB2312" w:cs="Times New Roman"/>
          <w:color w:val="auto"/>
          <w:highlight w:val="none"/>
          <w:lang w:val="en-US" w:eastAsia="zh-CN"/>
        </w:rPr>
      </w:pPr>
      <w:r>
        <w:rPr>
          <w:rFonts w:hint="default" w:ascii="Times New Roman" w:hAnsi="Times New Roman" w:eastAsia="楷体_GB2312" w:cs="Times New Roman"/>
          <w:color w:val="auto"/>
          <w:highlight w:val="none"/>
          <w:lang w:val="en-US" w:eastAsia="zh-CN"/>
        </w:rPr>
        <w:t>聚力“强创新”，</w:t>
      </w:r>
      <w:r>
        <w:rPr>
          <w:rFonts w:hint="default" w:ascii="Times New Roman" w:hAnsi="Times New Roman" w:eastAsia="楷体_GB2312" w:cs="Times New Roman"/>
          <w:color w:val="auto"/>
          <w:highlight w:val="none"/>
          <w:lang w:val="en-US" w:eastAsia="zh"/>
        </w:rPr>
        <w:t>实施</w:t>
      </w:r>
      <w:r>
        <w:rPr>
          <w:rFonts w:hint="default" w:ascii="Times New Roman" w:hAnsi="Times New Roman" w:eastAsia="楷体_GB2312" w:cs="Times New Roman"/>
          <w:color w:val="auto"/>
          <w:highlight w:val="none"/>
          <w:lang w:val="en-US" w:eastAsia="zh-CN"/>
        </w:rPr>
        <w:t>创新突破工程</w:t>
      </w:r>
    </w:p>
    <w:p w14:paraId="3E404AAC">
      <w:pPr>
        <w:keepNext w:val="0"/>
        <w:keepLines w:val="0"/>
        <w:pageBreakBefore w:val="0"/>
        <w:widowControl w:val="0"/>
        <w:suppressLineNumbers w:val="0"/>
        <w:shd w:val="clear"/>
        <w:kinsoku/>
        <w:wordWrap/>
        <w:overflowPunct w:val="0"/>
        <w:topLinePunct/>
        <w:autoSpaceDE/>
        <w:autoSpaceDN/>
        <w:bidi w:val="0"/>
        <w:spacing w:line="570" w:lineRule="exact"/>
        <w:ind w:left="0" w:leftChars="0" w:firstLine="643" w:firstLineChars="200"/>
        <w:jc w:val="both"/>
        <w:rPr>
          <w:rFonts w:hint="default" w:ascii="Times New Roman" w:hAnsi="Times New Roman" w:cs="Times New Roman"/>
          <w:color w:val="auto"/>
          <w:highlight w:val="none"/>
          <w:lang w:val="en-US" w:eastAsia="zh-CN"/>
        </w:rPr>
      </w:pPr>
      <w:r>
        <w:rPr>
          <w:rFonts w:hint="default" w:ascii="Times New Roman" w:hAnsi="Times New Roman" w:cs="Times New Roman"/>
          <w:b/>
          <w:color w:val="auto"/>
          <w:kern w:val="2"/>
          <w:sz w:val="32"/>
          <w:szCs w:val="30"/>
          <w:highlight w:val="none"/>
          <w:lang w:val="en-US" w:eastAsia="zh-CN" w:bidi="ar-SA"/>
        </w:rPr>
        <w:t>1.</w:t>
      </w:r>
      <w:r>
        <w:rPr>
          <w:rFonts w:hint="default" w:ascii="Times New Roman" w:hAnsi="Times New Roman" w:eastAsia="仿宋_GB2312" w:cs="Times New Roman"/>
          <w:b/>
          <w:color w:val="auto"/>
          <w:kern w:val="2"/>
          <w:sz w:val="32"/>
          <w:szCs w:val="30"/>
          <w:highlight w:val="none"/>
          <w:lang w:val="en-US" w:eastAsia="zh-CN" w:bidi="ar-SA"/>
        </w:rPr>
        <w:t>开展关键核心技术攻关</w:t>
      </w:r>
      <w:r>
        <w:rPr>
          <w:rFonts w:hint="default" w:ascii="Times New Roman" w:hAnsi="Times New Roman" w:eastAsia="仿宋_GB2312" w:cs="Times New Roman"/>
          <w:b/>
          <w:color w:val="auto"/>
          <w:kern w:val="2"/>
          <w:sz w:val="32"/>
          <w:szCs w:val="30"/>
          <w:highlight w:val="none"/>
          <w:lang w:val="en-US" w:eastAsia="zh" w:bidi="ar-SA"/>
        </w:rPr>
        <w:t>。</w:t>
      </w:r>
      <w:r>
        <w:rPr>
          <w:rFonts w:hint="default" w:ascii="Times New Roman" w:hAnsi="Times New Roman" w:cs="Times New Roman"/>
          <w:color w:val="auto"/>
          <w:highlight w:val="none"/>
          <w:lang w:val="en-US" w:eastAsia="zh-CN"/>
        </w:rPr>
        <w:t>聚焦人工智能核心领域，深化产学研合</w:t>
      </w:r>
      <w:r>
        <w:rPr>
          <w:rFonts w:hint="default" w:ascii="Times New Roman" w:hAnsi="Times New Roman" w:cs="Times New Roman"/>
          <w:b w:val="0"/>
          <w:bCs/>
          <w:color w:val="auto"/>
          <w:highlight w:val="none"/>
          <w:lang w:val="en-US" w:eastAsia="zh-CN"/>
        </w:rPr>
        <w:t>作。发挥创新券作用，引导和支持区内创新主体攻关制约人工智能产业发展的关键技术，实施人工智能领域重大科技研发攻关项目10个以上，力争在新领域新赛道形成优势。</w:t>
      </w:r>
      <w:r>
        <w:rPr>
          <w:rFonts w:hint="default" w:ascii="Times New Roman" w:hAnsi="Times New Roman" w:eastAsia="楷体_GB2312" w:cs="Times New Roman"/>
          <w:b w:val="0"/>
          <w:bCs/>
          <w:color w:val="auto"/>
          <w:kern w:val="2"/>
          <w:sz w:val="32"/>
          <w:szCs w:val="22"/>
          <w:highlight w:val="none"/>
          <w:lang w:val="en-US" w:eastAsia="zh-CN" w:bidi="ar-SA"/>
        </w:rPr>
        <w:t>（责任单位：区科技局）</w:t>
      </w:r>
    </w:p>
    <w:p w14:paraId="5C98D51B">
      <w:pPr>
        <w:keepNext w:val="0"/>
        <w:keepLines w:val="0"/>
        <w:pageBreakBefore w:val="0"/>
        <w:widowControl w:val="0"/>
        <w:suppressLineNumbers w:val="0"/>
        <w:shd w:val="clear"/>
        <w:kinsoku/>
        <w:wordWrap/>
        <w:overflowPunct w:val="0"/>
        <w:topLinePunct/>
        <w:autoSpaceDE/>
        <w:autoSpaceDN/>
        <w:bidi w:val="0"/>
        <w:spacing w:line="570" w:lineRule="exact"/>
        <w:ind w:left="0" w:leftChars="0" w:firstLine="643" w:firstLineChars="200"/>
        <w:jc w:val="both"/>
        <w:rPr>
          <w:rFonts w:hint="default" w:ascii="Times New Roman" w:hAnsi="Times New Roman" w:eastAsia="楷体_GB2312" w:cs="Times New Roman"/>
          <w:b w:val="0"/>
          <w:bCs/>
          <w:color w:val="auto"/>
          <w:kern w:val="2"/>
          <w:sz w:val="32"/>
          <w:szCs w:val="22"/>
          <w:highlight w:val="none"/>
          <w:lang w:val="en-US" w:eastAsia="zh-CN" w:bidi="ar-SA"/>
        </w:rPr>
      </w:pPr>
      <w:r>
        <w:rPr>
          <w:rFonts w:hint="default" w:ascii="Times New Roman" w:hAnsi="Times New Roman" w:eastAsia="仿宋_GB2312" w:cs="Times New Roman"/>
          <w:b/>
          <w:color w:val="auto"/>
          <w:kern w:val="2"/>
          <w:sz w:val="32"/>
          <w:szCs w:val="30"/>
          <w:highlight w:val="none"/>
          <w:lang w:val="en-US" w:eastAsia="zh-CN" w:bidi="ar-SA"/>
        </w:rPr>
        <w:t>2.优化</w:t>
      </w:r>
      <w:r>
        <w:rPr>
          <w:rFonts w:hint="default" w:ascii="Times New Roman" w:hAnsi="Times New Roman" w:cs="Times New Roman"/>
          <w:b/>
          <w:color w:val="auto"/>
          <w:kern w:val="2"/>
          <w:sz w:val="32"/>
          <w:szCs w:val="30"/>
          <w:highlight w:val="none"/>
          <w:lang w:val="en-US" w:eastAsia="zh-CN" w:bidi="ar-SA"/>
        </w:rPr>
        <w:t>智能算力</w:t>
      </w:r>
      <w:r>
        <w:rPr>
          <w:rFonts w:hint="default" w:ascii="Times New Roman" w:hAnsi="Times New Roman" w:eastAsia="仿宋_GB2312" w:cs="Times New Roman"/>
          <w:b/>
          <w:color w:val="auto"/>
          <w:kern w:val="2"/>
          <w:sz w:val="32"/>
          <w:szCs w:val="30"/>
          <w:highlight w:val="none"/>
          <w:lang w:val="en-US" w:eastAsia="zh-CN" w:bidi="ar-SA"/>
        </w:rPr>
        <w:t>资源供给。</w:t>
      </w:r>
      <w:r>
        <w:rPr>
          <w:rFonts w:hint="default" w:ascii="Times New Roman" w:hAnsi="Times New Roman" w:cs="Times New Roman"/>
          <w:b w:val="0"/>
          <w:bCs/>
          <w:color w:val="auto"/>
          <w:highlight w:val="none"/>
          <w:lang w:val="en-US" w:eastAsia="zh-CN"/>
        </w:rPr>
        <w:t>持续做好浙江新型算力中心万卡集群建设指导。支持之江实验室新型算力中心等算力供给方开放运营，完善“算力伙伴”名单，促进算力供需匹配。</w:t>
      </w:r>
      <w:r>
        <w:rPr>
          <w:rFonts w:hint="default" w:ascii="Times New Roman" w:hAnsi="Times New Roman" w:cs="Times New Roman"/>
          <w:b w:val="0"/>
          <w:bCs/>
          <w:color w:val="auto"/>
          <w:highlight w:val="none"/>
          <w:lang w:val="en-US" w:eastAsia="zh"/>
        </w:rPr>
        <w:t>加快</w:t>
      </w:r>
      <w:r>
        <w:rPr>
          <w:rFonts w:hint="default" w:ascii="Times New Roman" w:hAnsi="Times New Roman" w:cs="Times New Roman"/>
          <w:b w:val="0"/>
          <w:bCs/>
          <w:color w:val="auto"/>
          <w:highlight w:val="none"/>
          <w:lang w:val="en-US" w:eastAsia="zh-CN"/>
        </w:rPr>
        <w:t>“算力券”政策</w:t>
      </w:r>
      <w:r>
        <w:rPr>
          <w:rFonts w:hint="default" w:ascii="Times New Roman" w:hAnsi="Times New Roman" w:cs="Times New Roman"/>
          <w:b w:val="0"/>
          <w:bCs/>
          <w:color w:val="auto"/>
          <w:highlight w:val="none"/>
          <w:lang w:val="en-US" w:eastAsia="zh"/>
        </w:rPr>
        <w:t>落地</w:t>
      </w:r>
      <w:r>
        <w:rPr>
          <w:rFonts w:hint="default" w:ascii="Times New Roman" w:hAnsi="Times New Roman" w:cs="Times New Roman"/>
          <w:b w:val="0"/>
          <w:bCs/>
          <w:color w:val="auto"/>
          <w:highlight w:val="none"/>
          <w:lang w:val="en-US" w:eastAsia="zh-CN"/>
        </w:rPr>
        <w:t>，每年最高安排5000万元资金，支持企业购买算力。</w:t>
      </w:r>
      <w:r>
        <w:rPr>
          <w:rFonts w:hint="default" w:ascii="Times New Roman" w:hAnsi="Times New Roman" w:eastAsia="楷体_GB2312" w:cs="Times New Roman"/>
          <w:b w:val="0"/>
          <w:bCs/>
          <w:color w:val="auto"/>
          <w:kern w:val="2"/>
          <w:sz w:val="32"/>
          <w:szCs w:val="22"/>
          <w:highlight w:val="none"/>
          <w:lang w:val="en-US" w:eastAsia="zh-CN" w:bidi="ar-SA"/>
        </w:rPr>
        <w:t>（责任单位：区发改局、区经信局）</w:t>
      </w:r>
    </w:p>
    <w:p w14:paraId="02311F42">
      <w:pPr>
        <w:keepNext w:val="0"/>
        <w:keepLines w:val="0"/>
        <w:pageBreakBefore w:val="0"/>
        <w:widowControl w:val="0"/>
        <w:suppressLineNumbers w:val="0"/>
        <w:shd w:val="clear"/>
        <w:kinsoku/>
        <w:wordWrap/>
        <w:overflowPunct w:val="0"/>
        <w:topLinePunct/>
        <w:autoSpaceDE/>
        <w:autoSpaceDN/>
        <w:bidi w:val="0"/>
        <w:spacing w:beforeAutospacing="0" w:afterAutospacing="0" w:line="570" w:lineRule="exact"/>
        <w:ind w:left="0" w:leftChars="0" w:right="0" w:firstLine="643" w:firstLineChars="200"/>
        <w:jc w:val="both"/>
        <w:rPr>
          <w:rFonts w:hint="default" w:ascii="Times New Roman" w:hAnsi="Times New Roman" w:eastAsia="楷体_GB2312" w:cs="Times New Roman"/>
          <w:b w:val="0"/>
          <w:bCs/>
          <w:color w:val="auto"/>
          <w:kern w:val="2"/>
          <w:sz w:val="32"/>
          <w:szCs w:val="22"/>
          <w:highlight w:val="none"/>
          <w:lang w:val="en-US" w:eastAsia="zh-CN" w:bidi="ar-SA"/>
        </w:rPr>
      </w:pPr>
      <w:r>
        <w:rPr>
          <w:rFonts w:hint="default" w:ascii="Times New Roman" w:hAnsi="Times New Roman" w:eastAsia="仿宋_GB2312" w:cs="Times New Roman"/>
          <w:b/>
          <w:color w:val="auto"/>
          <w:kern w:val="2"/>
          <w:sz w:val="32"/>
          <w:szCs w:val="30"/>
          <w:highlight w:val="none"/>
          <w:lang w:val="en-US" w:eastAsia="zh-CN" w:bidi="ar-SA"/>
        </w:rPr>
        <w:t>3.推</w:t>
      </w:r>
      <w:r>
        <w:rPr>
          <w:rFonts w:hint="default" w:ascii="Times New Roman" w:hAnsi="Times New Roman" w:cs="Times New Roman"/>
          <w:b/>
          <w:color w:val="auto"/>
          <w:kern w:val="2"/>
          <w:sz w:val="32"/>
          <w:szCs w:val="30"/>
          <w:highlight w:val="none"/>
          <w:lang w:val="en-US" w:eastAsia="zh-CN" w:bidi="ar-SA"/>
        </w:rPr>
        <w:t>动</w:t>
      </w:r>
      <w:r>
        <w:rPr>
          <w:rFonts w:hint="default" w:ascii="Times New Roman" w:hAnsi="Times New Roman" w:eastAsia="仿宋_GB2312" w:cs="Times New Roman"/>
          <w:b/>
          <w:color w:val="auto"/>
          <w:kern w:val="2"/>
          <w:sz w:val="32"/>
          <w:szCs w:val="30"/>
          <w:highlight w:val="none"/>
          <w:lang w:val="en-US" w:eastAsia="zh-CN" w:bidi="ar-SA"/>
        </w:rPr>
        <w:t>人工智能</w:t>
      </w:r>
      <w:r>
        <w:rPr>
          <w:rFonts w:hint="default" w:ascii="Times New Roman" w:hAnsi="Times New Roman" w:eastAsia="仿宋_GB2312" w:cs="Times New Roman"/>
          <w:b/>
          <w:color w:val="auto"/>
          <w:kern w:val="2"/>
          <w:sz w:val="32"/>
          <w:szCs w:val="30"/>
          <w:highlight w:val="none"/>
          <w:lang w:val="en-US" w:eastAsia="zh" w:bidi="ar-SA"/>
        </w:rPr>
        <w:t>开源创新。</w:t>
      </w:r>
      <w:r>
        <w:rPr>
          <w:rFonts w:hint="default" w:ascii="Times New Roman" w:hAnsi="Times New Roman" w:cs="Times New Roman"/>
          <w:b w:val="0"/>
          <w:color w:val="auto"/>
          <w:highlight w:val="none"/>
          <w:lang w:val="en-US" w:eastAsia="zh"/>
        </w:rPr>
        <w:t>鼓励企业依托基础大模型开展创新</w:t>
      </w:r>
      <w:r>
        <w:rPr>
          <w:rFonts w:hint="default" w:ascii="Times New Roman" w:hAnsi="Times New Roman" w:cs="Times New Roman"/>
          <w:b w:val="0"/>
          <w:color w:val="auto"/>
          <w:highlight w:val="none"/>
          <w:lang w:val="en-US" w:eastAsia="zh-CN"/>
        </w:rPr>
        <w:t>，积极推进人工智能开源工作</w:t>
      </w:r>
      <w:r>
        <w:rPr>
          <w:rFonts w:hint="default" w:ascii="Times New Roman" w:hAnsi="Times New Roman" w:cs="Times New Roman"/>
          <w:b w:val="0"/>
          <w:bCs/>
          <w:color w:val="auto"/>
          <w:highlight w:val="none"/>
          <w:lang w:val="en-US" w:eastAsia="zh-CN"/>
        </w:rPr>
        <w:t>。支持之江实验室地理、天文等科学基础模型开源开放。支持湖畔实验室发布“DAMO开发者矩阵”生态社区。研究实施“模型券”政策，每年最高安排5000万元资金，支持企业基于模型开展研发应用。</w:t>
      </w:r>
      <w:r>
        <w:rPr>
          <w:rFonts w:hint="default" w:ascii="Times New Roman" w:hAnsi="Times New Roman" w:eastAsia="楷体_GB2312" w:cs="Times New Roman"/>
          <w:b w:val="0"/>
          <w:bCs/>
          <w:color w:val="auto"/>
          <w:kern w:val="2"/>
          <w:sz w:val="32"/>
          <w:szCs w:val="22"/>
          <w:highlight w:val="none"/>
          <w:lang w:val="en-US" w:eastAsia="zh-CN" w:bidi="ar-SA"/>
        </w:rPr>
        <w:t>（责任单位：区经信局、区发改局）</w:t>
      </w:r>
    </w:p>
    <w:p w14:paraId="226312C2">
      <w:pPr>
        <w:keepNext w:val="0"/>
        <w:keepLines w:val="0"/>
        <w:pageBreakBefore w:val="0"/>
        <w:widowControl w:val="0"/>
        <w:suppressLineNumbers w:val="0"/>
        <w:shd w:val="clear"/>
        <w:kinsoku/>
        <w:wordWrap/>
        <w:overflowPunct w:val="0"/>
        <w:topLinePunct/>
        <w:autoSpaceDE/>
        <w:autoSpaceDN/>
        <w:bidi w:val="0"/>
        <w:spacing w:beforeAutospacing="0" w:afterAutospacing="0" w:line="570" w:lineRule="exact"/>
        <w:ind w:left="0" w:leftChars="0" w:right="0" w:firstLine="643" w:firstLineChars="200"/>
        <w:jc w:val="both"/>
        <w:rPr>
          <w:rFonts w:hint="default" w:ascii="Times New Roman" w:hAnsi="Times New Roman" w:cs="Times New Roman"/>
          <w:b w:val="0"/>
          <w:bCs/>
          <w:color w:val="auto"/>
          <w:highlight w:val="none"/>
          <w:lang w:val="en-US" w:eastAsia="zh-CN"/>
        </w:rPr>
      </w:pPr>
      <w:r>
        <w:rPr>
          <w:rFonts w:hint="default" w:ascii="Times New Roman" w:hAnsi="Times New Roman" w:eastAsia="仿宋_GB2312" w:cs="Times New Roman"/>
          <w:b/>
          <w:color w:val="auto"/>
          <w:kern w:val="2"/>
          <w:sz w:val="32"/>
          <w:szCs w:val="30"/>
          <w:highlight w:val="none"/>
          <w:lang w:val="en-US" w:eastAsia="zh-CN" w:bidi="ar-SA"/>
        </w:rPr>
        <w:t>4.优化人工智能数据供给。</w:t>
      </w:r>
      <w:r>
        <w:rPr>
          <w:rFonts w:hint="default" w:ascii="Times New Roman" w:hAnsi="Times New Roman" w:cs="Times New Roman"/>
          <w:b w:val="0"/>
          <w:bCs/>
          <w:color w:val="auto"/>
          <w:highlight w:val="none"/>
          <w:lang w:val="en-US" w:eastAsia="zh-CN"/>
        </w:rPr>
        <w:t>支持企业打造行业高质量数据集，支持之江实验室建设国家科学语料库，推进“中国飞谷”低空可信数据空间建设运营。深化浙江大数据交易服务平台余杭专区和杭州数据交易所余杭专区建设。健全公共数据授权运营机制，有序推进数据知识产权登记、数据资源登记。对牵头参与国家数据基础设施相关试点的企业，最高给予100万元补贴；对入选省级数商的企业，最高给予30万元奖励；对获得国家“数据要素×”大赛总决赛等奖项的创新项目，最高给予100万元奖励。（</w:t>
      </w:r>
      <w:r>
        <w:rPr>
          <w:rFonts w:hint="default" w:ascii="Times New Roman" w:hAnsi="Times New Roman" w:eastAsia="楷体_GB2312" w:cs="Times New Roman"/>
          <w:b w:val="0"/>
          <w:bCs/>
          <w:color w:val="auto"/>
          <w:kern w:val="2"/>
          <w:sz w:val="32"/>
          <w:szCs w:val="22"/>
          <w:highlight w:val="none"/>
          <w:lang w:val="en-US" w:eastAsia="zh-CN" w:bidi="ar-SA"/>
        </w:rPr>
        <w:t>责任单位：区数管局</w:t>
      </w:r>
      <w:r>
        <w:rPr>
          <w:rFonts w:hint="default" w:ascii="Times New Roman" w:hAnsi="Times New Roman" w:cs="Times New Roman"/>
          <w:b w:val="0"/>
          <w:bCs/>
          <w:color w:val="auto"/>
          <w:highlight w:val="none"/>
          <w:lang w:val="en-US" w:eastAsia="zh-CN"/>
        </w:rPr>
        <w:t>）</w:t>
      </w:r>
    </w:p>
    <w:p w14:paraId="7BF274E7">
      <w:pPr>
        <w:pStyle w:val="4"/>
        <w:keepNext w:val="0"/>
        <w:keepLines w:val="0"/>
        <w:pageBreakBefore w:val="0"/>
        <w:widowControl w:val="0"/>
        <w:numPr>
          <w:ilvl w:val="0"/>
          <w:numId w:val="4"/>
        </w:numPr>
        <w:shd w:val="clear"/>
        <w:kinsoku/>
        <w:wordWrap/>
        <w:overflowPunct w:val="0"/>
        <w:topLinePunct/>
        <w:autoSpaceDE/>
        <w:autoSpaceDN/>
        <w:bidi w:val="0"/>
        <w:snapToGrid/>
        <w:spacing w:line="570" w:lineRule="exact"/>
        <w:ind w:left="0" w:leftChars="0" w:firstLine="640" w:firstLineChars="200"/>
        <w:jc w:val="both"/>
        <w:textAlignment w:val="auto"/>
        <w:rPr>
          <w:rFonts w:hint="default" w:ascii="Times New Roman" w:hAnsi="Times New Roman" w:eastAsia="楷体_GB2312" w:cs="Times New Roman"/>
          <w:color w:val="auto"/>
          <w:highlight w:val="none"/>
          <w:lang w:val="en-US" w:eastAsia="zh-CN"/>
        </w:rPr>
      </w:pPr>
      <w:r>
        <w:rPr>
          <w:rFonts w:hint="default" w:ascii="Times New Roman" w:hAnsi="Times New Roman" w:eastAsia="楷体_GB2312" w:cs="Times New Roman"/>
          <w:color w:val="auto"/>
          <w:highlight w:val="none"/>
          <w:lang w:val="en-US" w:eastAsia="zh-CN"/>
        </w:rPr>
        <w:t>聚力“强主体”，实施企业精准培育工程</w:t>
      </w:r>
    </w:p>
    <w:p w14:paraId="41AF3136">
      <w:pPr>
        <w:keepNext w:val="0"/>
        <w:keepLines w:val="0"/>
        <w:pageBreakBefore w:val="0"/>
        <w:widowControl w:val="0"/>
        <w:suppressLineNumbers w:val="0"/>
        <w:shd w:val="clear"/>
        <w:kinsoku/>
        <w:wordWrap/>
        <w:overflowPunct w:val="0"/>
        <w:topLinePunct/>
        <w:autoSpaceDE/>
        <w:autoSpaceDN/>
        <w:bidi w:val="0"/>
        <w:spacing w:line="570" w:lineRule="exact"/>
        <w:ind w:left="0" w:leftChars="0" w:firstLine="643" w:firstLineChars="200"/>
        <w:jc w:val="both"/>
        <w:rPr>
          <w:rFonts w:hint="default" w:ascii="Times New Roman" w:hAnsi="Times New Roman" w:eastAsia="楷体_GB2312" w:cs="Times New Roman"/>
          <w:b w:val="0"/>
          <w:bCs/>
          <w:color w:val="auto"/>
          <w:kern w:val="2"/>
          <w:sz w:val="32"/>
          <w:szCs w:val="22"/>
          <w:highlight w:val="none"/>
          <w:lang w:val="en-US" w:eastAsia="zh-CN" w:bidi="ar-SA"/>
        </w:rPr>
      </w:pPr>
      <w:r>
        <w:rPr>
          <w:rFonts w:hint="default" w:ascii="Times New Roman" w:hAnsi="Times New Roman" w:eastAsia="仿宋_GB2312" w:cs="Times New Roman"/>
          <w:b/>
          <w:color w:val="auto"/>
          <w:kern w:val="2"/>
          <w:sz w:val="32"/>
          <w:szCs w:val="30"/>
          <w:highlight w:val="none"/>
          <w:lang w:val="en-US" w:eastAsia="zh-CN" w:bidi="ar-SA"/>
        </w:rPr>
        <w:t>5.加快重大项目</w:t>
      </w:r>
      <w:r>
        <w:rPr>
          <w:rFonts w:hint="default" w:ascii="Times New Roman" w:hAnsi="Times New Roman" w:cs="Times New Roman"/>
          <w:b/>
          <w:color w:val="auto"/>
          <w:kern w:val="2"/>
          <w:sz w:val="32"/>
          <w:szCs w:val="30"/>
          <w:highlight w:val="none"/>
          <w:lang w:val="en-US" w:eastAsia="zh-CN" w:bidi="ar-SA"/>
        </w:rPr>
        <w:t>招引和</w:t>
      </w:r>
      <w:r>
        <w:rPr>
          <w:rFonts w:hint="default" w:ascii="Times New Roman" w:hAnsi="Times New Roman" w:eastAsia="仿宋_GB2312" w:cs="Times New Roman"/>
          <w:b/>
          <w:color w:val="auto"/>
          <w:kern w:val="2"/>
          <w:sz w:val="32"/>
          <w:szCs w:val="30"/>
          <w:highlight w:val="none"/>
          <w:lang w:val="en-US" w:eastAsia="zh-CN" w:bidi="ar-SA"/>
        </w:rPr>
        <w:t>建设</w:t>
      </w:r>
      <w:r>
        <w:rPr>
          <w:rFonts w:hint="default" w:ascii="Times New Roman" w:hAnsi="Times New Roman" w:eastAsia="仿宋_GB2312" w:cs="Times New Roman"/>
          <w:b/>
          <w:color w:val="auto"/>
          <w:kern w:val="2"/>
          <w:sz w:val="32"/>
          <w:szCs w:val="30"/>
          <w:highlight w:val="none"/>
          <w:lang w:val="en-US" w:eastAsia="zh" w:bidi="ar-SA"/>
        </w:rPr>
        <w:t>。</w:t>
      </w:r>
      <w:r>
        <w:rPr>
          <w:rFonts w:hint="default" w:ascii="Times New Roman" w:hAnsi="Times New Roman" w:cs="Times New Roman"/>
          <w:b w:val="0"/>
          <w:bCs/>
          <w:color w:val="auto"/>
          <w:highlight w:val="none"/>
          <w:lang w:val="en-US" w:eastAsia="zh-CN"/>
        </w:rPr>
        <w:t>聚焦人工智能细分赛道，动态调整产业招商图谱，建立人工智能重大项目库，全年招引人工智能领域项目不少于20个。强化关键要素保障，推进</w:t>
      </w:r>
      <w:r>
        <w:rPr>
          <w:rFonts w:hint="default" w:ascii="Times New Roman" w:hAnsi="Times New Roman" w:cs="Times New Roman"/>
          <w:b w:val="0"/>
          <w:bCs/>
          <w:color w:val="auto"/>
          <w:highlight w:val="none"/>
          <w:lang w:val="en-US" w:eastAsia="zh"/>
        </w:rPr>
        <w:t>暖芯迦视觉脑机接口产业化项目</w:t>
      </w:r>
      <w:r>
        <w:rPr>
          <w:rFonts w:hint="default" w:ascii="Times New Roman" w:hAnsi="Times New Roman" w:cs="Times New Roman"/>
          <w:b w:val="0"/>
          <w:bCs/>
          <w:color w:val="auto"/>
          <w:highlight w:val="none"/>
          <w:lang w:val="en-US" w:eastAsia="zh-CN"/>
        </w:rPr>
        <w:t>、南湖科技成果转化项目等重</w:t>
      </w:r>
      <w:r>
        <w:rPr>
          <w:rFonts w:hint="eastAsia" w:cs="Times New Roman"/>
          <w:b w:val="0"/>
          <w:bCs/>
          <w:color w:val="auto"/>
          <w:highlight w:val="none"/>
          <w:lang w:val="en-US" w:eastAsia="zh-CN"/>
        </w:rPr>
        <w:t>点</w:t>
      </w:r>
      <w:r>
        <w:rPr>
          <w:rFonts w:hint="default" w:ascii="Times New Roman" w:hAnsi="Times New Roman" w:cs="Times New Roman"/>
          <w:b w:val="0"/>
          <w:bCs/>
          <w:color w:val="auto"/>
          <w:highlight w:val="none"/>
          <w:lang w:val="en-US" w:eastAsia="zh-CN"/>
        </w:rPr>
        <w:t>项目建设。</w:t>
      </w:r>
      <w:r>
        <w:rPr>
          <w:rFonts w:hint="default" w:ascii="Times New Roman" w:hAnsi="Times New Roman" w:eastAsia="楷体_GB2312" w:cs="Times New Roman"/>
          <w:b w:val="0"/>
          <w:bCs/>
          <w:color w:val="auto"/>
          <w:kern w:val="2"/>
          <w:sz w:val="32"/>
          <w:szCs w:val="22"/>
          <w:highlight w:val="none"/>
          <w:lang w:val="en-US" w:eastAsia="zh-CN" w:bidi="ar-SA"/>
        </w:rPr>
        <w:t>（责任单位：区商务局、区经信局</w:t>
      </w:r>
      <w:r>
        <w:rPr>
          <w:rFonts w:hint="eastAsia" w:eastAsia="楷体_GB2312" w:cs="Times New Roman"/>
          <w:b w:val="0"/>
          <w:bCs/>
          <w:color w:val="auto"/>
          <w:kern w:val="2"/>
          <w:sz w:val="32"/>
          <w:szCs w:val="22"/>
          <w:highlight w:val="none"/>
          <w:lang w:val="en-US" w:eastAsia="zh-CN" w:bidi="ar-SA"/>
        </w:rPr>
        <w:t>、区城投集团、</w:t>
      </w:r>
      <w:r>
        <w:rPr>
          <w:rFonts w:hint="default" w:ascii="Times New Roman" w:hAnsi="Times New Roman" w:eastAsia="楷体_GB2312" w:cs="Times New Roman"/>
          <w:b w:val="0"/>
          <w:bCs/>
          <w:color w:val="auto"/>
          <w:kern w:val="2"/>
          <w:sz w:val="32"/>
          <w:szCs w:val="22"/>
          <w:highlight w:val="none"/>
          <w:lang w:val="en-US" w:eastAsia="zh-CN" w:bidi="ar-SA"/>
        </w:rPr>
        <w:t>区发改局</w:t>
      </w:r>
      <w:r>
        <w:rPr>
          <w:rFonts w:hint="eastAsia" w:eastAsia="楷体_GB2312" w:cs="Times New Roman"/>
          <w:b w:val="0"/>
          <w:bCs/>
          <w:color w:val="auto"/>
          <w:kern w:val="2"/>
          <w:sz w:val="32"/>
          <w:szCs w:val="22"/>
          <w:highlight w:val="none"/>
          <w:lang w:val="en-US" w:eastAsia="zh-CN" w:bidi="ar-SA"/>
        </w:rPr>
        <w:t>、区科技局、区财政局、市规划和自然资源局余杭分局</w:t>
      </w:r>
      <w:r>
        <w:rPr>
          <w:rFonts w:hint="default" w:ascii="Times New Roman" w:hAnsi="Times New Roman" w:eastAsia="楷体_GB2312" w:cs="Times New Roman"/>
          <w:b w:val="0"/>
          <w:bCs/>
          <w:color w:val="auto"/>
          <w:kern w:val="2"/>
          <w:sz w:val="32"/>
          <w:szCs w:val="22"/>
          <w:highlight w:val="none"/>
          <w:lang w:val="en-US" w:eastAsia="zh-CN" w:bidi="ar-SA"/>
        </w:rPr>
        <w:t>）</w:t>
      </w:r>
    </w:p>
    <w:p w14:paraId="1F3213D1">
      <w:pPr>
        <w:pStyle w:val="5"/>
        <w:keepNext w:val="0"/>
        <w:keepLines w:val="0"/>
        <w:pageBreakBefore w:val="0"/>
        <w:widowControl w:val="0"/>
        <w:numPr>
          <w:ilvl w:val="0"/>
          <w:numId w:val="0"/>
        </w:numPr>
        <w:shd w:val="clear"/>
        <w:kinsoku/>
        <w:wordWrap/>
        <w:overflowPunct w:val="0"/>
        <w:topLinePunct/>
        <w:autoSpaceDE/>
        <w:autoSpaceDN/>
        <w:bidi w:val="0"/>
        <w:snapToGrid/>
        <w:spacing w:line="570" w:lineRule="exact"/>
        <w:ind w:left="0" w:leftChars="0" w:firstLine="643"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6.加快人工智能企业培育。</w:t>
      </w:r>
      <w:r>
        <w:rPr>
          <w:rFonts w:hint="default" w:ascii="Times New Roman" w:hAnsi="Times New Roman" w:cs="Times New Roman"/>
          <w:b w:val="0"/>
          <w:bCs/>
          <w:color w:val="auto"/>
          <w:highlight w:val="none"/>
          <w:lang w:val="en-US" w:eastAsia="zh-CN"/>
        </w:rPr>
        <w:t>构建分层分类企业培育体系，建立“一企一档”数据库，针对龙头企业“一企一策”靶向扶持；对高成长“专精特新”企业及潜力中小微企业分类指导。</w:t>
      </w:r>
      <w:r>
        <w:rPr>
          <w:rFonts w:hint="default" w:ascii="Times New Roman" w:hAnsi="Times New Roman" w:cs="Times New Roman"/>
          <w:b w:val="0"/>
          <w:bCs/>
          <w:color w:val="auto"/>
          <w:highlight w:val="none"/>
          <w:lang w:val="en-US" w:eastAsia="zh"/>
        </w:rPr>
        <w:t>鼓励有条件的</w:t>
      </w:r>
      <w:r>
        <w:rPr>
          <w:rFonts w:hint="default" w:ascii="Times New Roman" w:hAnsi="Times New Roman" w:cs="Times New Roman"/>
          <w:b w:val="0"/>
          <w:bCs/>
          <w:color w:val="auto"/>
          <w:highlight w:val="none"/>
          <w:lang w:val="en-US" w:eastAsia="zh-CN"/>
        </w:rPr>
        <w:t>企业</w:t>
      </w:r>
      <w:r>
        <w:rPr>
          <w:rFonts w:hint="default" w:ascii="Times New Roman" w:hAnsi="Times New Roman" w:cs="Times New Roman"/>
          <w:b w:val="0"/>
          <w:bCs/>
          <w:color w:val="auto"/>
          <w:highlight w:val="none"/>
          <w:lang w:val="en-US" w:eastAsia="zh"/>
        </w:rPr>
        <w:t>拓展人工智能新业务</w:t>
      </w:r>
      <w:r>
        <w:rPr>
          <w:rFonts w:hint="default" w:ascii="Times New Roman" w:hAnsi="Times New Roman" w:cs="Times New Roman"/>
          <w:b w:val="0"/>
          <w:bCs/>
          <w:color w:val="auto"/>
          <w:highlight w:val="none"/>
          <w:lang w:val="en-US" w:eastAsia="zh-CN"/>
        </w:rPr>
        <w:t>，实现内生裂变。</w:t>
      </w:r>
      <w:r>
        <w:rPr>
          <w:rFonts w:hint="default" w:ascii="Times New Roman" w:hAnsi="Times New Roman" w:eastAsia="楷体_GB2312" w:cs="Times New Roman"/>
          <w:b w:val="0"/>
          <w:bCs/>
          <w:color w:val="auto"/>
          <w:kern w:val="2"/>
          <w:sz w:val="32"/>
          <w:szCs w:val="22"/>
          <w:highlight w:val="none"/>
          <w:lang w:val="en-US" w:eastAsia="zh-CN" w:bidi="ar-SA"/>
        </w:rPr>
        <w:t>（责任单位：区经信局）</w:t>
      </w:r>
    </w:p>
    <w:p w14:paraId="21AB2723">
      <w:pPr>
        <w:pStyle w:val="4"/>
        <w:keepNext w:val="0"/>
        <w:keepLines w:val="0"/>
        <w:pageBreakBefore w:val="0"/>
        <w:widowControl w:val="0"/>
        <w:numPr>
          <w:ilvl w:val="0"/>
          <w:numId w:val="4"/>
        </w:numPr>
        <w:shd w:val="clear"/>
        <w:kinsoku/>
        <w:wordWrap/>
        <w:overflowPunct w:val="0"/>
        <w:topLinePunct/>
        <w:autoSpaceDE/>
        <w:autoSpaceDN/>
        <w:bidi w:val="0"/>
        <w:spacing w:line="570" w:lineRule="exact"/>
        <w:ind w:left="0" w:leftChars="0" w:firstLine="640" w:firstLineChars="200"/>
        <w:jc w:val="both"/>
        <w:rPr>
          <w:rFonts w:hint="default" w:ascii="Times New Roman" w:hAnsi="Times New Roman" w:eastAsia="楷体_GB2312" w:cs="Times New Roman"/>
          <w:color w:val="auto"/>
          <w:highlight w:val="none"/>
          <w:lang w:val="en-US" w:eastAsia="zh-CN"/>
        </w:rPr>
      </w:pPr>
      <w:r>
        <w:rPr>
          <w:rFonts w:hint="default" w:ascii="Times New Roman" w:hAnsi="Times New Roman" w:eastAsia="楷体_GB2312" w:cs="Times New Roman"/>
          <w:color w:val="auto"/>
          <w:highlight w:val="none"/>
          <w:lang w:val="en-US" w:eastAsia="zh-CN"/>
        </w:rPr>
        <w:t>聚力“强应用”，实施场景赋能工程</w:t>
      </w:r>
    </w:p>
    <w:p w14:paraId="3B065AEB">
      <w:pPr>
        <w:keepNext w:val="0"/>
        <w:keepLines w:val="0"/>
        <w:pageBreakBefore w:val="0"/>
        <w:widowControl w:val="0"/>
        <w:suppressLineNumbers w:val="0"/>
        <w:shd w:val="clear"/>
        <w:kinsoku/>
        <w:wordWrap/>
        <w:overflowPunct w:val="0"/>
        <w:topLinePunct/>
        <w:autoSpaceDE/>
        <w:autoSpaceDN/>
        <w:bidi w:val="0"/>
        <w:spacing w:line="570" w:lineRule="exact"/>
        <w:ind w:left="0" w:leftChars="0" w:firstLine="643" w:firstLineChars="200"/>
        <w:jc w:val="both"/>
        <w:rPr>
          <w:rFonts w:hint="default" w:ascii="Times New Roman" w:hAnsi="Times New Roman" w:cs="Times New Roman"/>
          <w:color w:val="FF0000"/>
          <w:highlight w:val="none"/>
          <w:lang w:val="en-US" w:eastAsia="zh-CN"/>
        </w:rPr>
      </w:pPr>
      <w:r>
        <w:rPr>
          <w:rFonts w:hint="default" w:ascii="Times New Roman" w:hAnsi="Times New Roman" w:cs="Times New Roman"/>
          <w:b/>
          <w:bCs/>
          <w:color w:val="auto"/>
          <w:highlight w:val="none"/>
          <w:lang w:val="en-US" w:eastAsia="zh-CN"/>
        </w:rPr>
        <w:t>7.建设科技成果转化平台。</w:t>
      </w:r>
      <w:r>
        <w:rPr>
          <w:rFonts w:hint="default" w:ascii="Times New Roman" w:hAnsi="Times New Roman" w:eastAsia="仿宋_GB2312" w:cs="Times New Roman"/>
          <w:b w:val="0"/>
          <w:bCs/>
          <w:color w:val="auto"/>
          <w:kern w:val="2"/>
          <w:sz w:val="32"/>
          <w:szCs w:val="22"/>
          <w:highlight w:val="none"/>
          <w:lang w:val="en-US" w:eastAsia="zh-CN" w:bidi="ar-SA"/>
        </w:rPr>
        <w:t>加强与杭转中心合作，推进中国人工智能学会科创中心（杭州站）、涿溪实验室科技成果转化项目等建设。依托之江实验室等科研平台和重点企业，加快各级概念验证中心、中试基地布局和建设，逐步完善人工智能领域概念验证、科技成果熟化等服务能力</w:t>
      </w:r>
      <w:r>
        <w:rPr>
          <w:rFonts w:hint="default" w:ascii="Times New Roman" w:hAnsi="Times New Roman" w:cs="Times New Roman"/>
          <w:b w:val="0"/>
          <w:bCs/>
          <w:color w:val="auto"/>
          <w:kern w:val="2"/>
          <w:sz w:val="32"/>
          <w:szCs w:val="22"/>
          <w:highlight w:val="none"/>
          <w:lang w:val="en-US" w:eastAsia="zh-CN" w:bidi="ar-SA"/>
        </w:rPr>
        <w:t>，</w:t>
      </w:r>
      <w:r>
        <w:rPr>
          <w:rFonts w:hint="default" w:ascii="Times New Roman" w:hAnsi="Times New Roman" w:eastAsia="仿宋_GB2312" w:cs="Times New Roman"/>
          <w:b w:val="0"/>
          <w:bCs/>
          <w:color w:val="auto"/>
          <w:kern w:val="2"/>
          <w:sz w:val="32"/>
          <w:szCs w:val="22"/>
          <w:highlight w:val="none"/>
          <w:lang w:val="en-US" w:eastAsia="zh-CN" w:bidi="ar-SA"/>
        </w:rPr>
        <w:t>推动公共服务平台对外开展</w:t>
      </w:r>
      <w:r>
        <w:rPr>
          <w:rFonts w:hint="default" w:ascii="Times New Roman" w:hAnsi="Times New Roman" w:cs="Times New Roman"/>
          <w:b w:val="0"/>
          <w:bCs/>
          <w:color w:val="auto"/>
          <w:kern w:val="2"/>
          <w:sz w:val="32"/>
          <w:szCs w:val="22"/>
          <w:highlight w:val="none"/>
          <w:lang w:val="en-US" w:eastAsia="zh-CN" w:bidi="ar-SA"/>
        </w:rPr>
        <w:t>人工智能领域</w:t>
      </w:r>
      <w:r>
        <w:rPr>
          <w:rFonts w:hint="default" w:ascii="Times New Roman" w:hAnsi="Times New Roman" w:eastAsia="仿宋_GB2312" w:cs="Times New Roman"/>
          <w:b w:val="0"/>
          <w:bCs/>
          <w:color w:val="auto"/>
          <w:kern w:val="2"/>
          <w:sz w:val="32"/>
          <w:szCs w:val="22"/>
          <w:highlight w:val="none"/>
          <w:lang w:val="en-US" w:eastAsia="zh-CN" w:bidi="ar-SA"/>
        </w:rPr>
        <w:t>服务</w:t>
      </w:r>
      <w:r>
        <w:rPr>
          <w:rFonts w:hint="default" w:ascii="Times New Roman" w:hAnsi="Times New Roman" w:cs="Times New Roman"/>
          <w:b w:val="0"/>
          <w:bCs/>
          <w:color w:val="auto"/>
          <w:kern w:val="2"/>
          <w:sz w:val="32"/>
          <w:szCs w:val="22"/>
          <w:highlight w:val="none"/>
          <w:lang w:val="en-US" w:eastAsia="zh-CN" w:bidi="ar-SA"/>
        </w:rPr>
        <w:t>不少于20</w:t>
      </w:r>
      <w:r>
        <w:rPr>
          <w:rFonts w:hint="default" w:ascii="Times New Roman" w:hAnsi="Times New Roman" w:eastAsia="仿宋_GB2312" w:cs="Times New Roman"/>
          <w:b w:val="0"/>
          <w:bCs/>
          <w:color w:val="auto"/>
          <w:kern w:val="2"/>
          <w:sz w:val="32"/>
          <w:szCs w:val="22"/>
          <w:highlight w:val="none"/>
          <w:lang w:val="en-US" w:eastAsia="zh-CN" w:bidi="ar-SA"/>
        </w:rPr>
        <w:t>项（次）。</w:t>
      </w:r>
      <w:r>
        <w:rPr>
          <w:rFonts w:hint="default" w:ascii="Times New Roman" w:hAnsi="Times New Roman" w:eastAsia="楷体_GB2312" w:cs="Times New Roman"/>
          <w:b w:val="0"/>
          <w:bCs/>
          <w:color w:val="auto"/>
          <w:kern w:val="2"/>
          <w:sz w:val="32"/>
          <w:szCs w:val="22"/>
          <w:highlight w:val="none"/>
          <w:lang w:val="en-US" w:eastAsia="zh-CN" w:bidi="ar-SA"/>
        </w:rPr>
        <w:t>（责任单位：区科技局、未来科技城）</w:t>
      </w:r>
    </w:p>
    <w:p w14:paraId="0CDF4FE3">
      <w:pPr>
        <w:keepNext w:val="0"/>
        <w:keepLines w:val="0"/>
        <w:pageBreakBefore w:val="0"/>
        <w:widowControl w:val="0"/>
        <w:suppressLineNumbers w:val="0"/>
        <w:shd w:val="clear"/>
        <w:kinsoku/>
        <w:wordWrap/>
        <w:overflowPunct w:val="0"/>
        <w:topLinePunct/>
        <w:autoSpaceDE/>
        <w:autoSpaceDN/>
        <w:bidi w:val="0"/>
        <w:spacing w:beforeAutospacing="0" w:afterAutospacing="0" w:line="570" w:lineRule="exact"/>
        <w:ind w:left="0" w:leftChars="0" w:right="0" w:firstLine="643" w:firstLineChars="200"/>
        <w:jc w:val="both"/>
        <w:rPr>
          <w:rFonts w:hint="default" w:ascii="Times New Roman" w:hAnsi="Times New Roman" w:cs="Times New Roman"/>
          <w:color w:val="auto"/>
          <w:highlight w:val="none"/>
        </w:rPr>
      </w:pPr>
      <w:r>
        <w:rPr>
          <w:rFonts w:hint="default" w:ascii="Times New Roman" w:hAnsi="Times New Roman" w:cs="Times New Roman"/>
          <w:b/>
          <w:bCs/>
          <w:color w:val="auto"/>
          <w:highlight w:val="none"/>
          <w:lang w:val="en-US" w:eastAsia="zh-CN"/>
        </w:rPr>
        <w:t>8.推进“人工智能+”行动。</w:t>
      </w:r>
      <w:r>
        <w:rPr>
          <w:rFonts w:hint="default" w:ascii="Times New Roman" w:hAnsi="Times New Roman" w:cs="Times New Roman"/>
          <w:b w:val="0"/>
          <w:bCs/>
          <w:color w:val="auto"/>
          <w:highlight w:val="none"/>
          <w:lang w:val="en-US" w:eastAsia="zh-CN"/>
        </w:rPr>
        <w:t>推进人工智能标杆场景</w:t>
      </w:r>
      <w:r>
        <w:rPr>
          <w:rFonts w:hint="default" w:ascii="Times New Roman" w:hAnsi="Times New Roman" w:cs="Times New Roman"/>
          <w:b w:val="0"/>
          <w:bCs/>
          <w:color w:val="auto"/>
          <w:highlight w:val="none"/>
          <w:lang w:val="en-US" w:eastAsia="zh"/>
        </w:rPr>
        <w:t>建设</w:t>
      </w:r>
      <w:r>
        <w:rPr>
          <w:rFonts w:hint="default" w:ascii="Times New Roman" w:hAnsi="Times New Roman" w:cs="Times New Roman"/>
          <w:b w:val="0"/>
          <w:bCs/>
          <w:color w:val="auto"/>
          <w:highlight w:val="none"/>
          <w:lang w:val="en-US" w:eastAsia="zh-CN"/>
        </w:rPr>
        <w:t>，落地一批跨界融合应用典型案例。</w:t>
      </w:r>
      <w:r>
        <w:rPr>
          <w:rFonts w:hint="default" w:ascii="Times New Roman" w:hAnsi="Times New Roman" w:cs="Times New Roman"/>
          <w:b w:val="0"/>
          <w:bCs/>
          <w:color w:val="auto"/>
          <w:highlight w:val="none"/>
          <w:lang w:val="en-US" w:eastAsia="zh"/>
        </w:rPr>
        <w:t>“人工智能+政务”</w:t>
      </w:r>
      <w:r>
        <w:rPr>
          <w:rFonts w:hint="default" w:ascii="Times New Roman" w:hAnsi="Times New Roman" w:cs="Times New Roman"/>
          <w:b w:val="0"/>
          <w:bCs/>
          <w:color w:val="auto"/>
          <w:highlight w:val="none"/>
          <w:lang w:val="en-US" w:eastAsia="zh-CN"/>
        </w:rPr>
        <w:t>领域，依托AI余杭项目，打造AI数据处理平台、智能体搭建平台，赋能办公效能提升。</w:t>
      </w:r>
      <w:r>
        <w:rPr>
          <w:rFonts w:hint="default" w:ascii="Times New Roman" w:hAnsi="Times New Roman" w:cs="Times New Roman"/>
          <w:b w:val="0"/>
          <w:bCs/>
          <w:color w:val="auto"/>
          <w:highlight w:val="none"/>
          <w:lang w:val="en-US" w:eastAsia="zh"/>
        </w:rPr>
        <w:t>“人工智能+</w:t>
      </w:r>
      <w:r>
        <w:rPr>
          <w:rFonts w:hint="default" w:ascii="Times New Roman" w:hAnsi="Times New Roman" w:cs="Times New Roman"/>
          <w:b w:val="0"/>
          <w:bCs/>
          <w:color w:val="auto"/>
          <w:highlight w:val="none"/>
          <w:lang w:val="en-US" w:eastAsia="zh-CN"/>
        </w:rPr>
        <w:t>医疗服务</w:t>
      </w:r>
      <w:r>
        <w:rPr>
          <w:rFonts w:hint="default" w:ascii="Times New Roman" w:hAnsi="Times New Roman" w:cs="Times New Roman"/>
          <w:b w:val="0"/>
          <w:bCs/>
          <w:color w:val="auto"/>
          <w:highlight w:val="none"/>
          <w:lang w:val="en-US" w:eastAsia="zh"/>
        </w:rPr>
        <w:t>”</w:t>
      </w:r>
      <w:r>
        <w:rPr>
          <w:rFonts w:hint="default" w:ascii="Times New Roman" w:hAnsi="Times New Roman" w:cs="Times New Roman"/>
          <w:b w:val="0"/>
          <w:bCs/>
          <w:color w:val="auto"/>
          <w:highlight w:val="none"/>
          <w:lang w:val="en-US" w:eastAsia="zh-CN"/>
        </w:rPr>
        <w:t>领域，推广应用“安诊儿”，探索“慢病医生助手”等服务模式，迭代升级智慧医疗等场景。</w:t>
      </w:r>
      <w:r>
        <w:rPr>
          <w:rFonts w:hint="default" w:ascii="Times New Roman" w:hAnsi="Times New Roman" w:cs="Times New Roman"/>
          <w:b w:val="0"/>
          <w:bCs/>
          <w:color w:val="auto"/>
          <w:highlight w:val="none"/>
          <w:lang w:val="en-US" w:eastAsia="zh"/>
        </w:rPr>
        <w:t>“人工智能+</w:t>
      </w:r>
      <w:r>
        <w:rPr>
          <w:rFonts w:hint="default" w:ascii="Times New Roman" w:hAnsi="Times New Roman" w:cs="Times New Roman"/>
          <w:b w:val="0"/>
          <w:bCs/>
          <w:color w:val="auto"/>
          <w:highlight w:val="none"/>
          <w:lang w:val="en-US" w:eastAsia="zh-CN"/>
        </w:rPr>
        <w:t>文旅</w:t>
      </w:r>
      <w:r>
        <w:rPr>
          <w:rFonts w:hint="default" w:ascii="Times New Roman" w:hAnsi="Times New Roman" w:cs="Times New Roman"/>
          <w:b w:val="0"/>
          <w:bCs/>
          <w:color w:val="auto"/>
          <w:highlight w:val="none"/>
          <w:lang w:val="en-US" w:eastAsia="zh"/>
        </w:rPr>
        <w:t>”</w:t>
      </w:r>
      <w:r>
        <w:rPr>
          <w:rFonts w:hint="default" w:ascii="Times New Roman" w:hAnsi="Times New Roman" w:cs="Times New Roman"/>
          <w:b w:val="0"/>
          <w:bCs/>
          <w:color w:val="auto"/>
          <w:highlight w:val="none"/>
          <w:lang w:val="en-US" w:eastAsia="zh-CN"/>
        </w:rPr>
        <w:t>领域，推动3D数字人交互系统、章太炎故居AI+AR导览系统等场景建设。“人工智能+教育”领域，探索人工智能赋能教育全场景应用，争创省人工智能助力教育教学改革试点区。强化人工智能应用场景供需对接。对获评“人工智能+”标杆型示范项目的企业，按照不超过项目投资额30%的标准给予补助，最高补助500万元。</w:t>
      </w:r>
      <w:r>
        <w:rPr>
          <w:rFonts w:hint="default" w:ascii="Times New Roman" w:hAnsi="Times New Roman" w:eastAsia="楷体_GB2312" w:cs="Times New Roman"/>
          <w:b w:val="0"/>
          <w:bCs/>
          <w:color w:val="auto"/>
          <w:kern w:val="2"/>
          <w:sz w:val="32"/>
          <w:szCs w:val="22"/>
          <w:highlight w:val="none"/>
          <w:lang w:val="en-US" w:eastAsia="zh-CN" w:bidi="ar-SA"/>
        </w:rPr>
        <w:t>（责任单位：区发改局、</w:t>
      </w:r>
      <w:r>
        <w:rPr>
          <w:rFonts w:hint="default" w:ascii="Times New Roman" w:hAnsi="Times New Roman" w:eastAsia="楷体_GB2312" w:cs="Times New Roman"/>
          <w:b w:val="0"/>
          <w:bCs/>
          <w:color w:val="auto"/>
          <w:kern w:val="2"/>
          <w:sz w:val="32"/>
          <w:szCs w:val="22"/>
          <w:highlight w:val="none"/>
          <w:lang w:eastAsia="zh-CN" w:bidi="ar-SA"/>
        </w:rPr>
        <w:t>区经信局、</w:t>
      </w:r>
      <w:r>
        <w:rPr>
          <w:rFonts w:hint="default" w:ascii="Times New Roman" w:hAnsi="Times New Roman" w:eastAsia="楷体_GB2312" w:cs="Times New Roman"/>
          <w:b w:val="0"/>
          <w:bCs/>
          <w:color w:val="auto"/>
          <w:kern w:val="2"/>
          <w:sz w:val="32"/>
          <w:szCs w:val="22"/>
          <w:highlight w:val="none"/>
          <w:lang w:val="en-US" w:eastAsia="zh-CN" w:bidi="ar-SA"/>
        </w:rPr>
        <w:t>区数管局、区卫生健康局、区文广旅体局、区教育局）</w:t>
      </w:r>
    </w:p>
    <w:p w14:paraId="0F2AF803">
      <w:pPr>
        <w:pStyle w:val="5"/>
        <w:keepNext w:val="0"/>
        <w:keepLines w:val="0"/>
        <w:pageBreakBefore w:val="0"/>
        <w:widowControl w:val="0"/>
        <w:numPr>
          <w:ilvl w:val="0"/>
          <w:numId w:val="0"/>
        </w:numPr>
        <w:shd w:val="clear"/>
        <w:kinsoku/>
        <w:wordWrap/>
        <w:overflowPunct w:val="0"/>
        <w:topLinePunct/>
        <w:autoSpaceDE/>
        <w:autoSpaceDN/>
        <w:bidi w:val="0"/>
        <w:snapToGrid/>
        <w:spacing w:line="570" w:lineRule="exact"/>
        <w:ind w:left="0" w:leftChars="0" w:firstLine="643"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9.推进软硬协同发展。</w:t>
      </w:r>
      <w:r>
        <w:rPr>
          <w:rFonts w:hint="default" w:ascii="Times New Roman" w:hAnsi="Times New Roman" w:cs="Times New Roman"/>
          <w:b w:val="0"/>
          <w:bCs/>
          <w:color w:val="auto"/>
          <w:highlight w:val="none"/>
          <w:lang w:val="en-US" w:eastAsia="zh-CN"/>
        </w:rPr>
        <w:t>鼓励大模型企业、人工智能服务企业联合生态伙伴加强智能硬件开发，开展5场以上人工智能产业链对接活动。针对重大项目的关键诉求提供个性化支持，力争打造“软硬件协同”典型案例2个以上。促进制造业企业智转数改，推动大模型在企业数智化改造中的应用，全年培育30家以上各级“未来工厂”体系企业。对评定为省级“未来工厂”、“未来工厂”培育试点的企业给予最高2500万元奖励。</w:t>
      </w:r>
      <w:r>
        <w:rPr>
          <w:rFonts w:hint="default" w:ascii="Times New Roman" w:hAnsi="Times New Roman" w:eastAsia="楷体_GB2312" w:cs="Times New Roman"/>
          <w:b w:val="0"/>
          <w:bCs/>
          <w:color w:val="auto"/>
          <w:kern w:val="2"/>
          <w:sz w:val="32"/>
          <w:szCs w:val="22"/>
          <w:highlight w:val="none"/>
          <w:lang w:val="en-US" w:eastAsia="zh-CN" w:bidi="ar-SA"/>
        </w:rPr>
        <w:t>（责任单位：区经信局、区财政局、市规划资源局余杭分局）</w:t>
      </w:r>
    </w:p>
    <w:p w14:paraId="645A25BF">
      <w:pPr>
        <w:pStyle w:val="4"/>
        <w:keepNext w:val="0"/>
        <w:keepLines w:val="0"/>
        <w:pageBreakBefore w:val="0"/>
        <w:widowControl w:val="0"/>
        <w:numPr>
          <w:ilvl w:val="0"/>
          <w:numId w:val="4"/>
        </w:numPr>
        <w:shd w:val="clear"/>
        <w:kinsoku/>
        <w:wordWrap/>
        <w:overflowPunct w:val="0"/>
        <w:topLinePunct/>
        <w:autoSpaceDE/>
        <w:autoSpaceDN/>
        <w:bidi w:val="0"/>
        <w:snapToGrid/>
        <w:spacing w:line="570" w:lineRule="exact"/>
        <w:ind w:left="0" w:leftChars="0" w:firstLine="640" w:firstLineChars="200"/>
        <w:jc w:val="both"/>
        <w:textAlignment w:val="auto"/>
        <w:rPr>
          <w:rFonts w:hint="default" w:ascii="Times New Roman" w:hAnsi="Times New Roman" w:eastAsia="楷体_GB2312" w:cs="Times New Roman"/>
          <w:color w:val="auto"/>
          <w:highlight w:val="none"/>
          <w:lang w:val="en-US" w:eastAsia="zh-CN"/>
        </w:rPr>
      </w:pPr>
      <w:r>
        <w:rPr>
          <w:rFonts w:hint="default" w:ascii="Times New Roman" w:hAnsi="Times New Roman" w:eastAsia="楷体_GB2312" w:cs="Times New Roman"/>
          <w:color w:val="auto"/>
          <w:highlight w:val="none"/>
          <w:lang w:val="en-US" w:eastAsia="zh-CN"/>
        </w:rPr>
        <w:t>聚力“强产业”，实施产业聚链工程</w:t>
      </w:r>
    </w:p>
    <w:p w14:paraId="21CA509D">
      <w:pPr>
        <w:pStyle w:val="5"/>
        <w:keepNext w:val="0"/>
        <w:keepLines w:val="0"/>
        <w:pageBreakBefore w:val="0"/>
        <w:widowControl w:val="0"/>
        <w:numPr>
          <w:ilvl w:val="0"/>
          <w:numId w:val="0"/>
        </w:numPr>
        <w:shd w:val="clear"/>
        <w:kinsoku/>
        <w:wordWrap/>
        <w:overflowPunct w:val="0"/>
        <w:topLinePunct/>
        <w:autoSpaceDE/>
        <w:autoSpaceDN/>
        <w:bidi w:val="0"/>
        <w:snapToGrid/>
        <w:spacing w:line="570" w:lineRule="exact"/>
        <w:ind w:left="0" w:leftChars="0" w:firstLine="643" w:firstLineChars="200"/>
        <w:jc w:val="both"/>
        <w:textAlignment w:val="auto"/>
        <w:rPr>
          <w:rFonts w:hint="default" w:ascii="Times New Roman" w:hAnsi="Times New Roman" w:eastAsia="楷体_GB2312" w:cs="Times New Roman"/>
          <w:b w:val="0"/>
          <w:bCs/>
          <w:color w:val="auto"/>
          <w:kern w:val="2"/>
          <w:sz w:val="32"/>
          <w:szCs w:val="22"/>
          <w:highlight w:val="none"/>
          <w:lang w:val="en-US" w:eastAsia="zh-CN" w:bidi="ar-SA"/>
        </w:rPr>
      </w:pPr>
      <w:r>
        <w:rPr>
          <w:rFonts w:hint="default" w:ascii="Times New Roman" w:hAnsi="Times New Roman" w:cs="Times New Roman"/>
          <w:color w:val="auto"/>
          <w:highlight w:val="none"/>
          <w:lang w:val="en-US" w:eastAsia="zh-CN"/>
        </w:rPr>
        <w:t>10.推动人工智能集聚发展。</w:t>
      </w:r>
      <w:r>
        <w:rPr>
          <w:rFonts w:hint="default" w:ascii="Times New Roman" w:hAnsi="Times New Roman" w:cs="Times New Roman"/>
          <w:b w:val="0"/>
          <w:bCs/>
          <w:color w:val="auto"/>
          <w:highlight w:val="none"/>
          <w:lang w:val="en-US" w:eastAsia="zh-CN"/>
        </w:rPr>
        <w:t>依托未来科技城，以人工智能小镇为核心区，打造总建筑面积超24万方的人工智能产业生态创新空间。推进良渚新城数字教育港建设，打造“政产学研用”一体化的数字教育协同创新发展平台。推进余杭区省级低空经济先飞区试点建设，争创省级类脑智能未来产业先导区。</w:t>
      </w:r>
      <w:r>
        <w:rPr>
          <w:rFonts w:hint="default" w:ascii="Times New Roman" w:hAnsi="Times New Roman" w:eastAsia="楷体_GB2312" w:cs="Times New Roman"/>
          <w:b w:val="0"/>
          <w:bCs/>
          <w:color w:val="auto"/>
          <w:kern w:val="2"/>
          <w:sz w:val="32"/>
          <w:szCs w:val="22"/>
          <w:highlight w:val="none"/>
          <w:lang w:val="en-US" w:eastAsia="zh-CN" w:bidi="ar-SA"/>
        </w:rPr>
        <w:t>（责任单位：区发改局、区经信局、区交通运输局、未来科技城、良渚新城）</w:t>
      </w:r>
    </w:p>
    <w:p w14:paraId="09C9875E">
      <w:pPr>
        <w:pStyle w:val="5"/>
        <w:keepNext w:val="0"/>
        <w:keepLines w:val="0"/>
        <w:pageBreakBefore w:val="0"/>
        <w:widowControl w:val="0"/>
        <w:numPr>
          <w:ilvl w:val="0"/>
          <w:numId w:val="0"/>
        </w:numPr>
        <w:shd w:val="clear"/>
        <w:kinsoku/>
        <w:wordWrap/>
        <w:overflowPunct w:val="0"/>
        <w:topLinePunct/>
        <w:autoSpaceDE/>
        <w:autoSpaceDN/>
        <w:bidi w:val="0"/>
        <w:snapToGrid/>
        <w:spacing w:line="570" w:lineRule="exact"/>
        <w:ind w:left="0" w:leftChars="0" w:firstLine="643"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b/>
          <w:bCs w:val="0"/>
          <w:color w:val="auto"/>
          <w:highlight w:val="none"/>
          <w:lang w:val="en-US" w:eastAsia="zh-CN"/>
        </w:rPr>
        <w:t>11.推进人工智能开放发展。</w:t>
      </w:r>
      <w:r>
        <w:rPr>
          <w:rFonts w:hint="default" w:ascii="Times New Roman" w:hAnsi="Times New Roman" w:cs="Times New Roman"/>
          <w:b w:val="0"/>
          <w:bCs/>
          <w:color w:val="auto"/>
          <w:highlight w:val="none"/>
          <w:lang w:val="en-US" w:eastAsia="zh-CN"/>
        </w:rPr>
        <w:t>引导企业拓展多元海外市场，支持人工智能企业组团参与境内外重点展会5场以上，根据需要设置展会专区、发布指引手册等，对企业参展的摊位费最高给予全额补助。</w:t>
      </w:r>
      <w:r>
        <w:rPr>
          <w:rFonts w:hint="default" w:ascii="Times New Roman" w:hAnsi="Times New Roman" w:eastAsia="楷体_GB2312" w:cs="Times New Roman"/>
          <w:b w:val="0"/>
          <w:bCs/>
          <w:color w:val="auto"/>
          <w:kern w:val="2"/>
          <w:sz w:val="32"/>
          <w:szCs w:val="22"/>
          <w:highlight w:val="none"/>
          <w:lang w:val="en-US" w:eastAsia="zh-CN" w:bidi="ar-SA"/>
        </w:rPr>
        <w:t>（责任单位：区商务局）</w:t>
      </w:r>
    </w:p>
    <w:p w14:paraId="2288A5C9">
      <w:pPr>
        <w:pStyle w:val="4"/>
        <w:keepNext w:val="0"/>
        <w:keepLines w:val="0"/>
        <w:pageBreakBefore w:val="0"/>
        <w:widowControl w:val="0"/>
        <w:numPr>
          <w:ilvl w:val="0"/>
          <w:numId w:val="4"/>
        </w:numPr>
        <w:shd w:val="clear"/>
        <w:kinsoku/>
        <w:wordWrap/>
        <w:overflowPunct w:val="0"/>
        <w:topLinePunct/>
        <w:autoSpaceDE/>
        <w:autoSpaceDN/>
        <w:bidi w:val="0"/>
        <w:snapToGrid/>
        <w:spacing w:line="570" w:lineRule="exact"/>
        <w:ind w:left="0" w:leftChars="0" w:firstLine="640" w:firstLineChars="200"/>
        <w:jc w:val="both"/>
        <w:textAlignment w:val="auto"/>
        <w:rPr>
          <w:rFonts w:hint="default" w:ascii="Times New Roman" w:hAnsi="Times New Roman" w:eastAsia="楷体_GB2312" w:cs="Times New Roman"/>
          <w:color w:val="auto"/>
          <w:highlight w:val="none"/>
          <w:lang w:val="en-US" w:eastAsia="zh-CN"/>
        </w:rPr>
      </w:pPr>
      <w:r>
        <w:rPr>
          <w:rFonts w:hint="default" w:ascii="Times New Roman" w:hAnsi="Times New Roman" w:eastAsia="楷体_GB2312" w:cs="Times New Roman"/>
          <w:color w:val="auto"/>
          <w:highlight w:val="none"/>
          <w:lang w:val="en-US" w:eastAsia="zh-CN"/>
        </w:rPr>
        <w:t>聚力“强生态”，实施要素汇聚工程</w:t>
      </w:r>
    </w:p>
    <w:p w14:paraId="3FDF9A65">
      <w:pPr>
        <w:pStyle w:val="5"/>
        <w:keepNext w:val="0"/>
        <w:keepLines w:val="0"/>
        <w:pageBreakBefore w:val="0"/>
        <w:widowControl w:val="0"/>
        <w:numPr>
          <w:ilvl w:val="0"/>
          <w:numId w:val="0"/>
        </w:numPr>
        <w:shd w:val="clear"/>
        <w:kinsoku/>
        <w:wordWrap/>
        <w:overflowPunct w:val="0"/>
        <w:topLinePunct/>
        <w:autoSpaceDE/>
        <w:autoSpaceDN/>
        <w:bidi w:val="0"/>
        <w:snapToGrid/>
        <w:spacing w:line="570" w:lineRule="exact"/>
        <w:ind w:left="0" w:leftChars="0" w:firstLine="643" w:firstLineChars="200"/>
        <w:jc w:val="both"/>
        <w:textAlignment w:val="auto"/>
        <w:rPr>
          <w:rFonts w:hint="default" w:ascii="Times New Roman" w:hAnsi="Times New Roman" w:eastAsia="楷体_GB2312" w:cs="Times New Roman"/>
          <w:b w:val="0"/>
          <w:bCs/>
          <w:color w:val="auto"/>
          <w:kern w:val="2"/>
          <w:sz w:val="32"/>
          <w:szCs w:val="22"/>
          <w:highlight w:val="none"/>
          <w:lang w:val="en-US" w:eastAsia="zh-CN" w:bidi="ar-SA"/>
        </w:rPr>
      </w:pPr>
      <w:r>
        <w:rPr>
          <w:rFonts w:hint="default" w:ascii="Times New Roman" w:hAnsi="Times New Roman" w:cs="Times New Roman"/>
          <w:color w:val="auto"/>
          <w:highlight w:val="none"/>
          <w:lang w:val="en-US" w:eastAsia="zh-CN"/>
        </w:rPr>
        <w:t>12.组建专项产业基金。</w:t>
      </w:r>
      <w:r>
        <w:rPr>
          <w:rFonts w:hint="default" w:ascii="Times New Roman" w:hAnsi="Times New Roman" w:cs="Times New Roman"/>
          <w:b w:val="0"/>
          <w:bCs/>
          <w:color w:val="auto"/>
          <w:highlight w:val="none"/>
          <w:lang w:val="en-US" w:eastAsia="zh-CN"/>
        </w:rPr>
        <w:t>创新投资机制，联动社会资本，设立人工智能产业子基金6支以上，形成总规模累计300亿元的人工智能基金池，优先投向区内优质人工智能项目，为企业提供覆盖全生命周期的耐心资本支持。</w:t>
      </w:r>
      <w:r>
        <w:rPr>
          <w:rFonts w:hint="default" w:ascii="Times New Roman" w:hAnsi="Times New Roman" w:eastAsia="楷体_GB2312" w:cs="Times New Roman"/>
          <w:b w:val="0"/>
          <w:bCs/>
          <w:color w:val="auto"/>
          <w:kern w:val="2"/>
          <w:sz w:val="32"/>
          <w:szCs w:val="22"/>
          <w:highlight w:val="none"/>
          <w:lang w:val="en-US" w:eastAsia="zh-CN" w:bidi="ar-SA"/>
        </w:rPr>
        <w:t>（责任单位：区国投集团、区财政局）</w:t>
      </w:r>
    </w:p>
    <w:p w14:paraId="01FC705D">
      <w:pPr>
        <w:pStyle w:val="5"/>
        <w:keepNext w:val="0"/>
        <w:keepLines w:val="0"/>
        <w:pageBreakBefore w:val="0"/>
        <w:widowControl w:val="0"/>
        <w:numPr>
          <w:ilvl w:val="0"/>
          <w:numId w:val="0"/>
        </w:numPr>
        <w:shd w:val="clear"/>
        <w:kinsoku/>
        <w:wordWrap/>
        <w:overflowPunct w:val="0"/>
        <w:topLinePunct/>
        <w:autoSpaceDE/>
        <w:autoSpaceDN/>
        <w:bidi w:val="0"/>
        <w:snapToGrid/>
        <w:spacing w:line="570" w:lineRule="exact"/>
        <w:ind w:left="0" w:leftChars="0" w:firstLine="643"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13.引培人工智能人才。</w:t>
      </w:r>
      <w:r>
        <w:rPr>
          <w:rFonts w:hint="default" w:ascii="Times New Roman" w:hAnsi="Times New Roman" w:cs="Times New Roman"/>
          <w:b w:val="0"/>
          <w:bCs/>
          <w:color w:val="auto"/>
          <w:highlight w:val="none"/>
          <w:lang w:val="en-US" w:eastAsia="zh-CN"/>
        </w:rPr>
        <w:t>加快构建人工智能人才矩阵，支持人工智能产业高质量发展。依托国家省市各类人才申报，加大对人工智能领域海内外高层次领军人才招引。推进人工智能卓越工程师队伍建设，全年新增卓越工程师5名。推动人工智能领域人才有序流动，培育“人工智能+”领域‘校企双聘’人才6名。</w:t>
      </w:r>
      <w:r>
        <w:rPr>
          <w:rFonts w:hint="default" w:ascii="Times New Roman" w:hAnsi="Times New Roman" w:eastAsia="楷体_GB2312" w:cs="Times New Roman"/>
          <w:b w:val="0"/>
          <w:bCs/>
          <w:color w:val="auto"/>
          <w:kern w:val="2"/>
          <w:sz w:val="32"/>
          <w:szCs w:val="22"/>
          <w:highlight w:val="none"/>
          <w:lang w:val="en-US" w:eastAsia="zh-CN" w:bidi="ar-SA"/>
        </w:rPr>
        <w:t>（责任单位：区委人才办、区经信局、区人社局、各平台、镇街）</w:t>
      </w:r>
    </w:p>
    <w:p w14:paraId="7864EBCD">
      <w:pPr>
        <w:pStyle w:val="5"/>
        <w:keepNext w:val="0"/>
        <w:keepLines w:val="0"/>
        <w:pageBreakBefore w:val="0"/>
        <w:widowControl w:val="0"/>
        <w:numPr>
          <w:ilvl w:val="0"/>
          <w:numId w:val="0"/>
        </w:numPr>
        <w:shd w:val="clear"/>
        <w:kinsoku/>
        <w:wordWrap/>
        <w:overflowPunct w:val="0"/>
        <w:topLinePunct/>
        <w:autoSpaceDE/>
        <w:autoSpaceDN/>
        <w:bidi w:val="0"/>
        <w:snapToGrid/>
        <w:spacing w:line="570" w:lineRule="exact"/>
        <w:ind w:left="0" w:leftChars="0" w:firstLine="643"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14.建立</w:t>
      </w:r>
      <w:r>
        <w:rPr>
          <w:rFonts w:hint="default" w:ascii="Times New Roman" w:hAnsi="Times New Roman" w:cs="Times New Roman"/>
          <w:color w:val="auto"/>
          <w:highlight w:val="none"/>
          <w:lang w:val="en-US" w:eastAsia="zh"/>
        </w:rPr>
        <w:t>公共服务</w:t>
      </w:r>
      <w:r>
        <w:rPr>
          <w:rFonts w:hint="default" w:ascii="Times New Roman" w:hAnsi="Times New Roman" w:cs="Times New Roman"/>
          <w:color w:val="auto"/>
          <w:highlight w:val="none"/>
          <w:lang w:val="en-US" w:eastAsia="zh-CN"/>
        </w:rPr>
        <w:t>体系。</w:t>
      </w:r>
      <w:r>
        <w:rPr>
          <w:rFonts w:hint="default" w:ascii="Times New Roman" w:hAnsi="Times New Roman" w:cs="Times New Roman"/>
          <w:b w:val="0"/>
          <w:bCs/>
          <w:color w:val="auto"/>
          <w:highlight w:val="none"/>
          <w:lang w:val="en-US" w:eastAsia="zh-CN"/>
        </w:rPr>
        <w:t>筹建国家级人工智能产业知识产权运营中心，建设全球人工智能专利数据库，实施人工智能领域知识产权证券化融资专项支持行动，发行2支知识产权证券化产品。（</w:t>
      </w:r>
      <w:r>
        <w:rPr>
          <w:rFonts w:hint="default" w:ascii="Times New Roman" w:hAnsi="Times New Roman" w:eastAsia="楷体_GB2312" w:cs="Times New Roman"/>
          <w:b w:val="0"/>
          <w:bCs/>
          <w:color w:val="auto"/>
          <w:kern w:val="2"/>
          <w:sz w:val="32"/>
          <w:szCs w:val="22"/>
          <w:highlight w:val="none"/>
          <w:lang w:val="en-US" w:eastAsia="zh-CN" w:bidi="ar-SA"/>
        </w:rPr>
        <w:t>责任单位：未来科技城、区市场监管局）</w:t>
      </w:r>
    </w:p>
    <w:p w14:paraId="2E0E2676">
      <w:pPr>
        <w:pStyle w:val="3"/>
        <w:keepNext w:val="0"/>
        <w:keepLines w:val="0"/>
        <w:pageBreakBefore w:val="0"/>
        <w:widowControl w:val="0"/>
        <w:numPr>
          <w:ilvl w:val="0"/>
          <w:numId w:val="2"/>
        </w:numPr>
        <w:shd w:val="clear"/>
        <w:kinsoku/>
        <w:wordWrap/>
        <w:overflowPunct w:val="0"/>
        <w:topLinePunct/>
        <w:autoSpaceDE/>
        <w:autoSpaceDN/>
        <w:bidi w:val="0"/>
        <w:spacing w:beforeLines="0" w:afterLines="0" w:line="570" w:lineRule="exact"/>
        <w:ind w:left="0" w:leftChars="0" w:firstLine="640" w:firstLineChars="200"/>
        <w:jc w:val="both"/>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保障措施</w:t>
      </w:r>
    </w:p>
    <w:p w14:paraId="1A64932B">
      <w:pPr>
        <w:pStyle w:val="29"/>
        <w:keepNext w:val="0"/>
        <w:keepLines w:val="0"/>
        <w:pageBreakBefore w:val="0"/>
        <w:widowControl w:val="0"/>
        <w:numPr>
          <w:ilvl w:val="0"/>
          <w:numId w:val="0"/>
        </w:numPr>
        <w:shd w:val="clear"/>
        <w:tabs>
          <w:tab w:val="left" w:pos="1418"/>
        </w:tabs>
        <w:kinsoku/>
        <w:wordWrap/>
        <w:overflowPunct w:val="0"/>
        <w:topLinePunct/>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val="0"/>
          <w:bCs w:val="0"/>
          <w:color w:val="auto"/>
          <w:sz w:val="32"/>
          <w:szCs w:val="32"/>
          <w:highlight w:val="none"/>
          <w:lang w:eastAsia="zh-CN"/>
        </w:rPr>
        <w:t>（一）</w:t>
      </w:r>
      <w:r>
        <w:rPr>
          <w:rFonts w:hint="default" w:ascii="Times New Roman" w:hAnsi="Times New Roman" w:eastAsia="楷体_GB2312" w:cs="Times New Roman"/>
          <w:b w:val="0"/>
          <w:bCs w:val="0"/>
          <w:color w:val="auto"/>
          <w:sz w:val="32"/>
          <w:szCs w:val="32"/>
          <w:highlight w:val="none"/>
        </w:rPr>
        <w:t>加强组织领导。</w:t>
      </w:r>
      <w:r>
        <w:rPr>
          <w:rFonts w:hint="default" w:ascii="Times New Roman" w:hAnsi="Times New Roman" w:eastAsia="仿宋_GB2312" w:cs="Times New Roman"/>
          <w:color w:val="auto"/>
          <w:sz w:val="32"/>
          <w:szCs w:val="32"/>
          <w:highlight w:val="none"/>
        </w:rPr>
        <w:t>建立区推进人工智能</w:t>
      </w:r>
      <w:r>
        <w:rPr>
          <w:rFonts w:hint="default" w:ascii="Times New Roman" w:hAnsi="Times New Roman" w:cs="Times New Roman"/>
          <w:color w:val="auto"/>
          <w:sz w:val="32"/>
          <w:szCs w:val="32"/>
          <w:highlight w:val="none"/>
          <w:lang w:val="en-US" w:eastAsia="zh-CN"/>
        </w:rPr>
        <w:t>高质量发展专班</w:t>
      </w:r>
      <w:r>
        <w:rPr>
          <w:rFonts w:hint="default" w:ascii="Times New Roman" w:hAnsi="Times New Roman" w:eastAsia="仿宋_GB2312" w:cs="Times New Roman"/>
          <w:color w:val="auto"/>
          <w:sz w:val="32"/>
          <w:szCs w:val="32"/>
          <w:highlight w:val="none"/>
        </w:rPr>
        <w:t>，</w:t>
      </w:r>
      <w:r>
        <w:rPr>
          <w:rFonts w:hint="default" w:ascii="Times New Roman" w:hAnsi="Times New Roman" w:cs="Times New Roman"/>
          <w:color w:val="auto"/>
          <w:sz w:val="32"/>
          <w:szCs w:val="32"/>
          <w:highlight w:val="none"/>
          <w:lang w:eastAsia="zh-CN"/>
        </w:rPr>
        <w:t>区长</w:t>
      </w:r>
      <w:r>
        <w:rPr>
          <w:rFonts w:hint="default" w:ascii="Times New Roman" w:hAnsi="Times New Roman" w:eastAsia="仿宋_GB2312" w:cs="Times New Roman"/>
          <w:color w:val="auto"/>
          <w:sz w:val="32"/>
          <w:szCs w:val="32"/>
          <w:highlight w:val="none"/>
        </w:rPr>
        <w:t>牵头，</w:t>
      </w:r>
      <w:r>
        <w:rPr>
          <w:rFonts w:hint="default" w:ascii="Times New Roman" w:hAnsi="Times New Roman" w:cs="Times New Roman"/>
          <w:color w:val="auto"/>
          <w:sz w:val="32"/>
          <w:szCs w:val="32"/>
          <w:highlight w:val="none"/>
          <w:lang w:eastAsia="zh-CN"/>
        </w:rPr>
        <w:t>分管区领导</w:t>
      </w:r>
      <w:r>
        <w:rPr>
          <w:rFonts w:hint="default" w:ascii="Times New Roman" w:hAnsi="Times New Roman" w:eastAsia="仿宋_GB2312" w:cs="Times New Roman"/>
          <w:color w:val="auto"/>
          <w:sz w:val="32"/>
          <w:szCs w:val="32"/>
          <w:highlight w:val="none"/>
        </w:rPr>
        <w:t>具体负责，发改、经信、商务、</w:t>
      </w:r>
      <w:r>
        <w:rPr>
          <w:rFonts w:hint="default" w:ascii="Times New Roman" w:hAnsi="Times New Roman" w:cs="Times New Roman"/>
          <w:color w:val="auto"/>
          <w:sz w:val="32"/>
          <w:szCs w:val="32"/>
          <w:highlight w:val="none"/>
          <w:lang w:eastAsia="zh"/>
        </w:rPr>
        <w:t>科技、数据管理</w:t>
      </w:r>
      <w:r>
        <w:rPr>
          <w:rFonts w:hint="default" w:ascii="Times New Roman" w:hAnsi="Times New Roman" w:cs="Times New Roman"/>
          <w:color w:val="auto"/>
          <w:sz w:val="32"/>
          <w:szCs w:val="32"/>
          <w:highlight w:val="none"/>
          <w:lang w:eastAsia="zh-CN"/>
        </w:rPr>
        <w:t>、财政</w:t>
      </w:r>
      <w:r>
        <w:rPr>
          <w:rFonts w:hint="default" w:ascii="Times New Roman" w:hAnsi="Times New Roman" w:eastAsia="仿宋_GB2312" w:cs="Times New Roman"/>
          <w:color w:val="auto"/>
          <w:sz w:val="32"/>
          <w:szCs w:val="32"/>
          <w:highlight w:val="none"/>
        </w:rPr>
        <w:t>等部门为</w:t>
      </w:r>
      <w:r>
        <w:rPr>
          <w:rFonts w:hint="default" w:ascii="Times New Roman" w:hAnsi="Times New Roman" w:cs="Times New Roman"/>
          <w:color w:val="auto"/>
          <w:sz w:val="32"/>
          <w:szCs w:val="32"/>
          <w:highlight w:val="none"/>
          <w:lang w:val="en-US" w:eastAsia="zh-CN"/>
        </w:rPr>
        <w:t>专班</w:t>
      </w:r>
      <w:r>
        <w:rPr>
          <w:rFonts w:hint="default" w:ascii="Times New Roman" w:hAnsi="Times New Roman" w:eastAsia="仿宋_GB2312" w:cs="Times New Roman"/>
          <w:color w:val="auto"/>
          <w:sz w:val="32"/>
          <w:szCs w:val="32"/>
          <w:highlight w:val="none"/>
        </w:rPr>
        <w:t>成员单位，统筹资源，决策重大事项</w:t>
      </w:r>
      <w:r>
        <w:rPr>
          <w:rFonts w:hint="default" w:ascii="Times New Roman" w:hAnsi="Times New Roman" w:cs="Times New Roman"/>
          <w:color w:val="auto"/>
          <w:sz w:val="32"/>
          <w:szCs w:val="32"/>
          <w:highlight w:val="none"/>
          <w:lang w:eastAsia="zh-CN"/>
        </w:rPr>
        <w:t>。</w:t>
      </w:r>
      <w:r>
        <w:rPr>
          <w:rFonts w:hint="default" w:ascii="Times New Roman" w:hAnsi="Times New Roman" w:cs="Times New Roman"/>
          <w:color w:val="auto"/>
          <w:sz w:val="32"/>
          <w:szCs w:val="32"/>
          <w:highlight w:val="none"/>
          <w:lang w:val="en-US" w:eastAsia="zh-CN"/>
        </w:rPr>
        <w:t>专班</w:t>
      </w:r>
      <w:r>
        <w:rPr>
          <w:rFonts w:hint="default" w:ascii="Times New Roman" w:hAnsi="Times New Roman" w:eastAsia="仿宋_GB2312" w:cs="Times New Roman"/>
          <w:color w:val="auto"/>
          <w:sz w:val="32"/>
          <w:szCs w:val="32"/>
          <w:highlight w:val="none"/>
        </w:rPr>
        <w:t>办公室设在区</w:t>
      </w:r>
      <w:r>
        <w:rPr>
          <w:rFonts w:hint="default" w:ascii="Times New Roman" w:hAnsi="Times New Roman" w:cs="Times New Roman"/>
          <w:color w:val="auto"/>
          <w:sz w:val="32"/>
          <w:szCs w:val="32"/>
          <w:highlight w:val="none"/>
          <w:lang w:val="en-US" w:eastAsia="zh-CN"/>
        </w:rPr>
        <w:t>经信</w:t>
      </w:r>
      <w:r>
        <w:rPr>
          <w:rFonts w:hint="default" w:ascii="Times New Roman" w:hAnsi="Times New Roman" w:eastAsia="仿宋_GB2312" w:cs="Times New Roman"/>
          <w:color w:val="auto"/>
          <w:sz w:val="32"/>
          <w:szCs w:val="32"/>
          <w:highlight w:val="none"/>
        </w:rPr>
        <w:t>局</w:t>
      </w:r>
      <w:r>
        <w:rPr>
          <w:rFonts w:hint="default" w:ascii="Times New Roman" w:hAnsi="Times New Roman" w:cs="Times New Roman"/>
          <w:color w:val="auto"/>
          <w:sz w:val="32"/>
          <w:szCs w:val="32"/>
          <w:highlight w:val="none"/>
          <w:lang w:eastAsia="zh-CN"/>
        </w:rPr>
        <w:t>，</w:t>
      </w:r>
      <w:r>
        <w:rPr>
          <w:rFonts w:hint="default" w:ascii="Times New Roman" w:hAnsi="Times New Roman" w:cs="Times New Roman"/>
          <w:color w:val="auto"/>
          <w:sz w:val="32"/>
          <w:szCs w:val="32"/>
          <w:highlight w:val="none"/>
          <w:lang w:val="en-US" w:eastAsia="zh-CN"/>
        </w:rPr>
        <w:t>推进各项工作落地落实</w:t>
      </w:r>
      <w:r>
        <w:rPr>
          <w:rFonts w:hint="default" w:ascii="Times New Roman" w:hAnsi="Times New Roman" w:eastAsia="仿宋_GB2312" w:cs="Times New Roman"/>
          <w:color w:val="auto"/>
          <w:sz w:val="32"/>
          <w:szCs w:val="32"/>
          <w:highlight w:val="none"/>
        </w:rPr>
        <w:t>。</w:t>
      </w:r>
    </w:p>
    <w:p w14:paraId="4CA23115">
      <w:pPr>
        <w:pStyle w:val="29"/>
        <w:keepNext w:val="0"/>
        <w:keepLines w:val="0"/>
        <w:pageBreakBefore w:val="0"/>
        <w:widowControl w:val="0"/>
        <w:numPr>
          <w:ilvl w:val="0"/>
          <w:numId w:val="0"/>
        </w:numPr>
        <w:shd w:val="clear"/>
        <w:tabs>
          <w:tab w:val="left" w:pos="1418"/>
        </w:tabs>
        <w:kinsoku/>
        <w:wordWrap/>
        <w:overflowPunct w:val="0"/>
        <w:topLinePunct/>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val="0"/>
          <w:bCs w:val="0"/>
          <w:color w:val="auto"/>
          <w:sz w:val="32"/>
          <w:szCs w:val="32"/>
          <w:highlight w:val="none"/>
          <w:lang w:eastAsia="zh-CN"/>
        </w:rPr>
        <w:t>（二）</w:t>
      </w:r>
      <w:r>
        <w:rPr>
          <w:rFonts w:hint="default" w:ascii="Times New Roman" w:hAnsi="Times New Roman" w:eastAsia="楷体_GB2312" w:cs="Times New Roman"/>
          <w:b w:val="0"/>
          <w:bCs w:val="0"/>
          <w:color w:val="auto"/>
          <w:sz w:val="32"/>
          <w:szCs w:val="32"/>
          <w:highlight w:val="none"/>
          <w:lang w:val="en-US" w:eastAsia="zh-CN"/>
        </w:rPr>
        <w:t>加大</w:t>
      </w:r>
      <w:r>
        <w:rPr>
          <w:rFonts w:hint="default" w:ascii="Times New Roman" w:hAnsi="Times New Roman" w:eastAsia="楷体_GB2312" w:cs="Times New Roman"/>
          <w:b w:val="0"/>
          <w:bCs w:val="0"/>
          <w:color w:val="auto"/>
          <w:sz w:val="32"/>
          <w:szCs w:val="32"/>
          <w:highlight w:val="none"/>
        </w:rPr>
        <w:t>政策支持。</w:t>
      </w:r>
      <w:r>
        <w:rPr>
          <w:rFonts w:hint="default" w:ascii="Times New Roman" w:hAnsi="Times New Roman" w:cs="Times New Roman"/>
          <w:color w:val="auto"/>
          <w:sz w:val="32"/>
          <w:szCs w:val="32"/>
          <w:highlight w:val="none"/>
          <w:lang w:eastAsia="zh-CN"/>
        </w:rPr>
        <w:t>推动</w:t>
      </w:r>
      <w:r>
        <w:rPr>
          <w:rFonts w:hint="default" w:ascii="Times New Roman" w:hAnsi="Times New Roman" w:eastAsia="仿宋_GB2312" w:cs="Times New Roman"/>
          <w:color w:val="auto"/>
          <w:sz w:val="32"/>
          <w:szCs w:val="32"/>
          <w:highlight w:val="none"/>
        </w:rPr>
        <w:t>人工智能</w:t>
      </w:r>
      <w:r>
        <w:rPr>
          <w:rFonts w:hint="default" w:ascii="Times New Roman" w:hAnsi="Times New Roman" w:cs="Times New Roman"/>
          <w:color w:val="auto"/>
          <w:sz w:val="32"/>
          <w:szCs w:val="32"/>
          <w:highlight w:val="none"/>
          <w:lang w:val="en-US" w:eastAsia="zh-CN"/>
        </w:rPr>
        <w:t>产业发展</w:t>
      </w:r>
      <w:r>
        <w:rPr>
          <w:rFonts w:hint="default" w:ascii="Times New Roman" w:hAnsi="Times New Roman" w:eastAsia="仿宋_GB2312" w:cs="Times New Roman"/>
          <w:color w:val="auto"/>
          <w:sz w:val="32"/>
          <w:szCs w:val="32"/>
          <w:highlight w:val="none"/>
        </w:rPr>
        <w:t>政策</w:t>
      </w:r>
      <w:r>
        <w:rPr>
          <w:rFonts w:hint="default" w:ascii="Times New Roman" w:hAnsi="Times New Roman" w:cs="Times New Roman"/>
          <w:color w:val="auto"/>
          <w:sz w:val="32"/>
          <w:szCs w:val="32"/>
          <w:highlight w:val="none"/>
          <w:lang w:eastAsia="zh-CN"/>
        </w:rPr>
        <w:t>落地</w:t>
      </w:r>
      <w:r>
        <w:rPr>
          <w:rFonts w:hint="default" w:ascii="Times New Roman" w:hAnsi="Times New Roman" w:eastAsia="仿宋_GB2312" w:cs="Times New Roman"/>
          <w:color w:val="auto"/>
          <w:sz w:val="32"/>
          <w:szCs w:val="32"/>
          <w:highlight w:val="none"/>
        </w:rPr>
        <w:t>。在用好用足</w:t>
      </w:r>
      <w:r>
        <w:rPr>
          <w:rFonts w:hint="default" w:ascii="Times New Roman" w:hAnsi="Times New Roman" w:cs="Times New Roman"/>
          <w:color w:val="auto"/>
          <w:sz w:val="32"/>
          <w:szCs w:val="32"/>
          <w:highlight w:val="none"/>
          <w:lang w:eastAsia="zh-CN"/>
        </w:rPr>
        <w:t>国家、省、市项目资金</w:t>
      </w:r>
      <w:r>
        <w:rPr>
          <w:rFonts w:hint="default" w:ascii="Times New Roman" w:hAnsi="Times New Roman" w:eastAsia="仿宋_GB2312" w:cs="Times New Roman"/>
          <w:color w:val="auto"/>
          <w:sz w:val="32"/>
          <w:szCs w:val="32"/>
          <w:highlight w:val="none"/>
        </w:rPr>
        <w:t>的基础上，统筹利用</w:t>
      </w:r>
      <w:r>
        <w:rPr>
          <w:rFonts w:hint="default" w:ascii="Times New Roman" w:hAnsi="Times New Roman" w:cs="Times New Roman"/>
          <w:color w:val="auto"/>
          <w:sz w:val="32"/>
          <w:szCs w:val="32"/>
          <w:highlight w:val="none"/>
          <w:lang w:eastAsia="zh-CN"/>
        </w:rPr>
        <w:t>区级</w:t>
      </w:r>
      <w:r>
        <w:rPr>
          <w:rFonts w:hint="default" w:ascii="Times New Roman" w:hAnsi="Times New Roman" w:cs="Times New Roman"/>
          <w:color w:val="auto"/>
          <w:sz w:val="32"/>
          <w:szCs w:val="32"/>
          <w:highlight w:val="none"/>
          <w:lang w:val="en-US" w:eastAsia="zh-CN"/>
        </w:rPr>
        <w:t>各类</w:t>
      </w:r>
      <w:r>
        <w:rPr>
          <w:rFonts w:hint="default" w:ascii="Times New Roman" w:hAnsi="Times New Roman" w:eastAsia="仿宋_GB2312" w:cs="Times New Roman"/>
          <w:color w:val="auto"/>
          <w:sz w:val="32"/>
          <w:szCs w:val="32"/>
          <w:highlight w:val="none"/>
        </w:rPr>
        <w:t>专项资金和产业基金，为人工智能</w:t>
      </w:r>
      <w:r>
        <w:rPr>
          <w:rFonts w:hint="default" w:ascii="Times New Roman" w:hAnsi="Times New Roman" w:cs="Times New Roman"/>
          <w:color w:val="auto"/>
          <w:sz w:val="32"/>
          <w:szCs w:val="32"/>
          <w:highlight w:val="none"/>
          <w:lang w:eastAsia="zh-CN"/>
        </w:rPr>
        <w:t>行业主体</w:t>
      </w:r>
      <w:r>
        <w:rPr>
          <w:rFonts w:hint="default" w:ascii="Times New Roman" w:hAnsi="Times New Roman" w:eastAsia="仿宋_GB2312" w:cs="Times New Roman"/>
          <w:color w:val="auto"/>
          <w:sz w:val="32"/>
          <w:szCs w:val="32"/>
          <w:highlight w:val="none"/>
        </w:rPr>
        <w:t>提供全生命周期服务。</w:t>
      </w:r>
    </w:p>
    <w:p w14:paraId="6489E9AB">
      <w:pPr>
        <w:pStyle w:val="29"/>
        <w:keepNext w:val="0"/>
        <w:keepLines w:val="0"/>
        <w:pageBreakBefore w:val="0"/>
        <w:widowControl w:val="0"/>
        <w:numPr>
          <w:ilvl w:val="0"/>
          <w:numId w:val="0"/>
        </w:numPr>
        <w:shd w:val="clear"/>
        <w:tabs>
          <w:tab w:val="left" w:pos="1418"/>
        </w:tabs>
        <w:kinsoku/>
        <w:wordWrap/>
        <w:overflowPunct w:val="0"/>
        <w:topLinePunct/>
        <w:autoSpaceDE/>
        <w:autoSpaceDN/>
        <w:bidi w:val="0"/>
        <w:adjustRightInd/>
        <w:snapToGrid/>
        <w:spacing w:line="570" w:lineRule="exact"/>
        <w:ind w:left="0" w:leftChars="0" w:firstLine="640" w:firstLineChars="200"/>
        <w:jc w:val="both"/>
        <w:textAlignment w:val="auto"/>
        <w:rPr>
          <w:rFonts w:hint="default" w:ascii="Times New Roman" w:hAnsi="Times New Roman" w:cs="Times New Roman"/>
          <w:i w:val="0"/>
          <w:iCs w:val="0"/>
          <w:caps w:val="0"/>
          <w:color w:val="auto"/>
          <w:spacing w:val="0"/>
          <w:sz w:val="32"/>
          <w:szCs w:val="32"/>
          <w:highlight w:val="none"/>
          <w:shd w:val="clear" w:color="090000" w:fill="FFFFFF"/>
          <w:lang w:eastAsia="zh-CN"/>
        </w:rPr>
      </w:pPr>
      <w:r>
        <w:rPr>
          <w:rFonts w:hint="default" w:ascii="Times New Roman" w:hAnsi="Times New Roman" w:eastAsia="楷体_GB2312" w:cs="Times New Roman"/>
          <w:color w:val="auto"/>
          <w:sz w:val="32"/>
          <w:szCs w:val="32"/>
          <w:highlight w:val="none"/>
          <w:lang w:val="en-US" w:eastAsia="zh-CN"/>
        </w:rPr>
        <w:t>（三）优化发展氛围</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snapToGrid/>
          <w:color w:val="auto"/>
          <w:kern w:val="0"/>
          <w:sz w:val="32"/>
          <w:szCs w:val="32"/>
          <w:highlight w:val="none"/>
          <w:lang w:val="en-US" w:eastAsia="zh-CN" w:bidi="ar"/>
        </w:rPr>
        <w:t>办好全球人工智能技术大会、未来数商大会、“创客天下·杭向未来”类脑智能专项赛等活动，发挥高规格赛会资源汇聚、人才交流、供需对接、品牌宣传等作用。</w:t>
      </w:r>
    </w:p>
    <w:p w14:paraId="7AA52F3C">
      <w:pPr>
        <w:keepNext w:val="0"/>
        <w:keepLines w:val="0"/>
        <w:pageBreakBefore w:val="0"/>
        <w:widowControl w:val="0"/>
        <w:numPr>
          <w:ilvl w:val="0"/>
          <w:numId w:val="0"/>
        </w:numPr>
        <w:suppressLineNumbers w:val="0"/>
        <w:shd w:val="clear"/>
        <w:tabs>
          <w:tab w:val="left" w:pos="1418"/>
        </w:tabs>
        <w:kinsoku/>
        <w:wordWrap/>
        <w:overflowPunct w:val="0"/>
        <w:topLinePunct/>
        <w:autoSpaceDE/>
        <w:autoSpaceDN/>
        <w:bidi w:val="0"/>
        <w:adjustRightInd w:val="0"/>
        <w:snapToGrid w:val="0"/>
        <w:spacing w:beforeAutospacing="0" w:afterAutospacing="0" w:line="570" w:lineRule="exact"/>
        <w:ind w:left="0" w:leftChars="0" w:right="0" w:firstLine="640" w:firstLineChars="200"/>
        <w:jc w:val="both"/>
        <w:textAlignment w:val="baseline"/>
        <w:rPr>
          <w:rFonts w:hint="default" w:ascii="Times New Roman" w:hAnsi="Times New Roman" w:cs="Times New Roman"/>
          <w:snapToGrid/>
          <w:color w:val="auto"/>
          <w:kern w:val="0"/>
          <w:sz w:val="32"/>
          <w:szCs w:val="32"/>
          <w:highlight w:val="none"/>
          <w:lang w:val="en-US" w:eastAsia="zh-CN" w:bidi="ar"/>
        </w:rPr>
      </w:pPr>
      <w:r>
        <w:rPr>
          <w:rFonts w:hint="default" w:ascii="Times New Roman" w:hAnsi="Times New Roman" w:eastAsia="楷体_GB2312" w:cs="Times New Roman"/>
          <w:i w:val="0"/>
          <w:iCs w:val="0"/>
          <w:caps w:val="0"/>
          <w:color w:val="auto"/>
          <w:spacing w:val="0"/>
          <w:sz w:val="32"/>
          <w:szCs w:val="32"/>
          <w:highlight w:val="none"/>
          <w:shd w:val="clear" w:color="auto" w:fill="auto"/>
          <w:lang w:eastAsia="zh-CN"/>
        </w:rPr>
        <w:t>（</w:t>
      </w:r>
      <w:r>
        <w:rPr>
          <w:rFonts w:hint="default" w:ascii="Times New Roman" w:hAnsi="Times New Roman" w:eastAsia="楷体_GB2312" w:cs="Times New Roman"/>
          <w:i w:val="0"/>
          <w:iCs w:val="0"/>
          <w:caps w:val="0"/>
          <w:color w:val="auto"/>
          <w:spacing w:val="0"/>
          <w:sz w:val="32"/>
          <w:szCs w:val="32"/>
          <w:highlight w:val="none"/>
          <w:shd w:val="clear" w:color="auto" w:fill="auto"/>
          <w:lang w:val="en-US" w:eastAsia="zh-CN"/>
        </w:rPr>
        <w:t>四</w:t>
      </w:r>
      <w:r>
        <w:rPr>
          <w:rFonts w:hint="default" w:ascii="Times New Roman" w:hAnsi="Times New Roman" w:eastAsia="楷体_GB2312" w:cs="Times New Roman"/>
          <w:i w:val="0"/>
          <w:iCs w:val="0"/>
          <w:caps w:val="0"/>
          <w:color w:val="auto"/>
          <w:spacing w:val="0"/>
          <w:sz w:val="32"/>
          <w:szCs w:val="32"/>
          <w:highlight w:val="none"/>
          <w:shd w:val="clear" w:color="auto" w:fill="auto"/>
          <w:lang w:eastAsia="zh-CN"/>
        </w:rPr>
        <w:t>）</w:t>
      </w:r>
      <w:r>
        <w:rPr>
          <w:rFonts w:hint="default" w:ascii="Times New Roman" w:hAnsi="Times New Roman" w:eastAsia="楷体_GB2312" w:cs="Times New Roman"/>
          <w:i w:val="0"/>
          <w:iCs w:val="0"/>
          <w:caps w:val="0"/>
          <w:color w:val="auto"/>
          <w:spacing w:val="0"/>
          <w:sz w:val="32"/>
          <w:szCs w:val="32"/>
          <w:highlight w:val="none"/>
          <w:shd w:val="clear"/>
          <w:lang w:val="en-US" w:eastAsia="zh-CN"/>
        </w:rPr>
        <w:t>强化</w:t>
      </w:r>
      <w:r>
        <w:rPr>
          <w:rFonts w:hint="default" w:ascii="Times New Roman" w:hAnsi="Times New Roman" w:eastAsia="楷体_GB2312" w:cs="Times New Roman"/>
          <w:i w:val="0"/>
          <w:iCs w:val="0"/>
          <w:caps w:val="0"/>
          <w:color w:val="auto"/>
          <w:spacing w:val="0"/>
          <w:sz w:val="32"/>
          <w:szCs w:val="32"/>
          <w:highlight w:val="none"/>
          <w:shd w:val="clear" w:color="auto" w:fill="auto"/>
          <w:lang w:val="en-US" w:eastAsia="zh-CN"/>
        </w:rPr>
        <w:t>安全</w:t>
      </w:r>
      <w:r>
        <w:rPr>
          <w:rFonts w:hint="default" w:ascii="Times New Roman" w:hAnsi="Times New Roman" w:eastAsia="楷体_GB2312" w:cs="Times New Roman"/>
          <w:i w:val="0"/>
          <w:iCs w:val="0"/>
          <w:caps w:val="0"/>
          <w:color w:val="auto"/>
          <w:spacing w:val="0"/>
          <w:sz w:val="32"/>
          <w:szCs w:val="32"/>
          <w:highlight w:val="none"/>
          <w:shd w:val="clear"/>
          <w:lang w:val="en-US" w:eastAsia="zh-CN"/>
        </w:rPr>
        <w:t>保障。</w:t>
      </w:r>
      <w:r>
        <w:rPr>
          <w:rFonts w:hint="default" w:ascii="Times New Roman" w:hAnsi="Times New Roman" w:eastAsia="仿宋_GB2312" w:cs="Times New Roman"/>
          <w:snapToGrid/>
          <w:color w:val="auto"/>
          <w:kern w:val="0"/>
          <w:sz w:val="32"/>
          <w:szCs w:val="32"/>
          <w:highlight w:val="none"/>
          <w:lang w:val="en-US" w:eastAsia="zh-CN" w:bidi="ar"/>
        </w:rPr>
        <w:t>探索建立人工智能监管与治理体系，依法依规实行包容审慎监管</w:t>
      </w:r>
      <w:r>
        <w:rPr>
          <w:rFonts w:hint="default" w:ascii="Times New Roman" w:hAnsi="Times New Roman" w:eastAsia="仿宋_GB2312" w:cs="Times New Roman"/>
          <w:snapToGrid/>
          <w:color w:val="auto"/>
          <w:kern w:val="0"/>
          <w:sz w:val="32"/>
          <w:szCs w:val="32"/>
          <w:highlight w:val="none"/>
          <w:lang w:val="en-US" w:eastAsia="zh" w:bidi="ar"/>
        </w:rPr>
        <w:t>，</w:t>
      </w:r>
      <w:r>
        <w:rPr>
          <w:rFonts w:hint="default" w:ascii="Times New Roman" w:hAnsi="Times New Roman" w:eastAsia="仿宋_GB2312" w:cs="Times New Roman"/>
          <w:i w:val="0"/>
          <w:iCs w:val="0"/>
          <w:caps w:val="0"/>
          <w:color w:val="auto"/>
          <w:spacing w:val="0"/>
          <w:kern w:val="0"/>
          <w:sz w:val="32"/>
          <w:szCs w:val="32"/>
          <w:highlight w:val="none"/>
          <w:shd w:val="clear"/>
          <w:lang w:val="en-US" w:eastAsia="zh-CN" w:bidi="ar"/>
        </w:rPr>
        <w:t>强</w:t>
      </w:r>
      <w:r>
        <w:rPr>
          <w:rFonts w:hint="default" w:ascii="Times New Roman" w:hAnsi="Times New Roman" w:eastAsia="仿宋_GB2312" w:cs="Times New Roman"/>
          <w:i w:val="0"/>
          <w:iCs w:val="0"/>
          <w:caps w:val="0"/>
          <w:color w:val="auto"/>
          <w:spacing w:val="0"/>
          <w:sz w:val="32"/>
          <w:szCs w:val="22"/>
          <w:highlight w:val="none"/>
          <w:shd w:val="clear"/>
          <w:lang w:val="en-US" w:eastAsia="zh-CN" w:bidi="ar"/>
        </w:rPr>
        <w:t>化</w:t>
      </w:r>
      <w:r>
        <w:rPr>
          <w:rFonts w:hint="default" w:ascii="Times New Roman" w:hAnsi="Times New Roman" w:eastAsia="仿宋_GB2312" w:cs="Times New Roman"/>
          <w:snapToGrid/>
          <w:color w:val="auto"/>
          <w:kern w:val="0"/>
          <w:sz w:val="32"/>
          <w:szCs w:val="32"/>
          <w:highlight w:val="none"/>
          <w:lang w:val="en-US" w:eastAsia="zh-CN" w:bidi="ar"/>
        </w:rPr>
        <w:t>个人</w:t>
      </w:r>
      <w:r>
        <w:rPr>
          <w:rFonts w:hint="default" w:ascii="Times New Roman" w:hAnsi="Times New Roman" w:eastAsia="仿宋_GB2312" w:cs="Times New Roman"/>
          <w:snapToGrid/>
          <w:color w:val="auto"/>
          <w:kern w:val="2"/>
          <w:sz w:val="32"/>
          <w:szCs w:val="22"/>
          <w:highlight w:val="none"/>
          <w:lang w:val="en-US" w:eastAsia="zh-CN" w:bidi="ar"/>
        </w:rPr>
        <w:t>隐</w:t>
      </w:r>
      <w:r>
        <w:rPr>
          <w:rFonts w:hint="default" w:ascii="Times New Roman" w:hAnsi="Times New Roman" w:eastAsia="仿宋_GB2312" w:cs="Times New Roman"/>
          <w:snapToGrid/>
          <w:color w:val="auto"/>
          <w:kern w:val="0"/>
          <w:sz w:val="32"/>
          <w:szCs w:val="32"/>
          <w:highlight w:val="none"/>
          <w:lang w:val="en-US" w:eastAsia="zh-CN" w:bidi="ar"/>
        </w:rPr>
        <w:t>私和数据安全</w:t>
      </w:r>
      <w:r>
        <w:rPr>
          <w:rFonts w:hint="default" w:ascii="Times New Roman" w:hAnsi="Times New Roman" w:eastAsia="仿宋_GB2312" w:cs="Times New Roman"/>
          <w:snapToGrid/>
          <w:color w:val="auto"/>
          <w:kern w:val="0"/>
          <w:sz w:val="32"/>
          <w:szCs w:val="32"/>
          <w:highlight w:val="none"/>
          <w:lang w:val="en-US" w:eastAsia="zh" w:bidi="ar"/>
        </w:rPr>
        <w:t>保障</w:t>
      </w:r>
      <w:r>
        <w:rPr>
          <w:rFonts w:hint="default" w:ascii="Times New Roman" w:hAnsi="Times New Roman" w:eastAsia="仿宋_GB2312" w:cs="Times New Roman"/>
          <w:snapToGrid/>
          <w:color w:val="auto"/>
          <w:kern w:val="0"/>
          <w:sz w:val="32"/>
          <w:szCs w:val="32"/>
          <w:highlight w:val="none"/>
          <w:lang w:val="en-US" w:eastAsia="zh-CN" w:bidi="ar"/>
        </w:rPr>
        <w:t>，构建安全有序发展环境。支持企业申请生成式人工智能模型备案</w:t>
      </w:r>
      <w:r>
        <w:rPr>
          <w:rFonts w:hint="default" w:ascii="Times New Roman" w:hAnsi="Times New Roman" w:cs="Times New Roman"/>
          <w:snapToGrid/>
          <w:color w:val="auto"/>
          <w:kern w:val="0"/>
          <w:sz w:val="32"/>
          <w:szCs w:val="32"/>
          <w:highlight w:val="none"/>
          <w:lang w:val="en-US" w:eastAsia="zh-CN" w:bidi="ar"/>
        </w:rPr>
        <w:t>。</w:t>
      </w:r>
    </w:p>
    <w:p w14:paraId="1E196ABE">
      <w:pPr>
        <w:pStyle w:val="2"/>
        <w:keepNext w:val="0"/>
        <w:keepLines w:val="0"/>
        <w:pageBreakBefore w:val="0"/>
        <w:widowControl w:val="0"/>
        <w:shd w:val="clear"/>
        <w:kinsoku/>
        <w:wordWrap/>
        <w:overflowPunct w:val="0"/>
        <w:topLinePunct/>
        <w:autoSpaceDE/>
        <w:autoSpaceDN/>
        <w:bidi w:val="0"/>
        <w:spacing w:line="570" w:lineRule="exact"/>
        <w:ind w:left="0" w:leftChars="0" w:firstLine="640" w:firstLineChars="200"/>
        <w:jc w:val="both"/>
        <w:rPr>
          <w:rFonts w:hint="default" w:ascii="Times New Roman" w:hAnsi="Times New Roman" w:cs="Times New Roman"/>
          <w:snapToGrid/>
          <w:color w:val="auto"/>
          <w:kern w:val="0"/>
          <w:sz w:val="32"/>
          <w:szCs w:val="32"/>
          <w:highlight w:val="none"/>
          <w:lang w:val="en-US" w:eastAsia="zh-CN" w:bidi="ar"/>
        </w:rPr>
      </w:pPr>
    </w:p>
    <w:p w14:paraId="35EFDE64">
      <w:pPr>
        <w:pStyle w:val="2"/>
        <w:keepNext w:val="0"/>
        <w:keepLines w:val="0"/>
        <w:pageBreakBefore w:val="0"/>
        <w:widowControl w:val="0"/>
        <w:shd w:val="clear"/>
        <w:kinsoku/>
        <w:wordWrap/>
        <w:overflowPunct w:val="0"/>
        <w:topLinePunct/>
        <w:autoSpaceDE/>
        <w:autoSpaceDN/>
        <w:bidi w:val="0"/>
        <w:adjustRightInd/>
        <w:snapToGrid/>
        <w:spacing w:line="570" w:lineRule="exact"/>
        <w:ind w:left="0" w:leftChars="0" w:firstLine="640" w:firstLineChars="200"/>
        <w:jc w:val="both"/>
        <w:textAlignment w:val="auto"/>
        <w:rPr>
          <w:rFonts w:hint="default" w:ascii="Times New Roman" w:hAnsi="Times New Roman" w:cs="Times New Roman"/>
          <w:snapToGrid/>
          <w:color w:val="auto"/>
          <w:kern w:val="0"/>
          <w:sz w:val="32"/>
          <w:szCs w:val="32"/>
          <w:highlight w:val="none"/>
          <w:lang w:val="en-US" w:eastAsia="zh-CN" w:bidi="ar"/>
        </w:rPr>
        <w:sectPr>
          <w:footerReference r:id="rId5"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snapToGrid/>
          <w:color w:val="auto"/>
          <w:kern w:val="0"/>
          <w:sz w:val="32"/>
          <w:szCs w:val="32"/>
          <w:highlight w:val="none"/>
          <w:lang w:val="en-US" w:eastAsia="zh-CN" w:bidi="ar"/>
        </w:rPr>
        <w:t>附件：余杭区加快建设人工智能创新高地核心承载地工作分工表（2025年）</w:t>
      </w:r>
    </w:p>
    <w:p w14:paraId="32FB0E1F">
      <w:pPr>
        <w:pStyle w:val="2"/>
        <w:shd w:val="clear"/>
        <w:ind w:left="0" w:leftChars="0" w:firstLine="0" w:firstLineChars="0"/>
        <w:rPr>
          <w:rFonts w:hint="eastAsia" w:ascii="黑体" w:hAnsi="黑体" w:eastAsia="黑体" w:cs="黑体"/>
          <w:snapToGrid/>
          <w:color w:val="auto"/>
          <w:kern w:val="0"/>
          <w:sz w:val="32"/>
          <w:szCs w:val="32"/>
          <w:highlight w:val="none"/>
          <w:lang w:val="en-US" w:eastAsia="zh-CN" w:bidi="ar"/>
        </w:rPr>
      </w:pPr>
      <w:r>
        <w:rPr>
          <w:rFonts w:hint="eastAsia" w:ascii="黑体" w:hAnsi="黑体" w:eastAsia="黑体" w:cs="黑体"/>
          <w:snapToGrid/>
          <w:color w:val="auto"/>
          <w:kern w:val="0"/>
          <w:sz w:val="32"/>
          <w:szCs w:val="32"/>
          <w:highlight w:val="none"/>
          <w:lang w:val="en-US" w:eastAsia="zh-CN" w:bidi="ar"/>
        </w:rPr>
        <w:t>附件</w:t>
      </w:r>
    </w:p>
    <w:p w14:paraId="64733147">
      <w:pPr>
        <w:pStyle w:val="2"/>
        <w:keepNext w:val="0"/>
        <w:keepLines w:val="0"/>
        <w:pageBreakBefore w:val="0"/>
        <w:widowControl w:val="0"/>
        <w:shd w:val="clear"/>
        <w:kinsoku/>
        <w:wordWrap/>
        <w:overflowPunct/>
        <w:topLinePunct w:val="0"/>
        <w:autoSpaceDE/>
        <w:autoSpaceDN/>
        <w:bidi w:val="0"/>
        <w:adjustRightInd/>
        <w:snapToGrid/>
        <w:ind w:left="0" w:leftChars="0" w:firstLine="0" w:firstLineChars="0"/>
        <w:jc w:val="center"/>
        <w:textAlignment w:val="auto"/>
        <w:rPr>
          <w:rFonts w:hint="default" w:ascii="Times New Roman" w:hAnsi="Times New Roman" w:eastAsia="方正小标宋简体" w:cs="Times New Roman"/>
          <w:snapToGrid/>
          <w:color w:val="auto"/>
          <w:kern w:val="0"/>
          <w:sz w:val="44"/>
          <w:szCs w:val="44"/>
          <w:highlight w:val="none"/>
          <w:lang w:val="en-US" w:eastAsia="zh-CN" w:bidi="ar"/>
        </w:rPr>
      </w:pPr>
      <w:r>
        <w:rPr>
          <w:rFonts w:hint="default" w:ascii="Times New Roman" w:hAnsi="Times New Roman" w:eastAsia="方正小标宋简体" w:cs="Times New Roman"/>
          <w:snapToGrid/>
          <w:color w:val="auto"/>
          <w:kern w:val="0"/>
          <w:sz w:val="44"/>
          <w:szCs w:val="44"/>
          <w:highlight w:val="none"/>
          <w:lang w:val="en-US" w:eastAsia="zh-CN" w:bidi="ar"/>
        </w:rPr>
        <w:t>余杭区加快建设人工智能创新高地核心承载地工作分工表（2025年）</w:t>
      </w:r>
    </w:p>
    <w:tbl>
      <w:tblPr>
        <w:tblStyle w:val="19"/>
        <w:tblW w:w="130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30"/>
        <w:gridCol w:w="1796"/>
        <w:gridCol w:w="7329"/>
        <w:gridCol w:w="1605"/>
        <w:gridCol w:w="1708"/>
      </w:tblGrid>
      <w:tr w14:paraId="010FC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67B4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黑体" w:cs="Times New Roman"/>
                <w:i w:val="0"/>
                <w:iCs w:val="0"/>
                <w:color w:val="auto"/>
                <w:sz w:val="24"/>
                <w:szCs w:val="24"/>
                <w:highlight w:val="none"/>
                <w:u w:val="none"/>
              </w:rPr>
            </w:pPr>
            <w:r>
              <w:rPr>
                <w:rFonts w:hint="default" w:ascii="Times New Roman" w:hAnsi="Times New Roman" w:eastAsia="黑体" w:cs="Times New Roman"/>
                <w:i w:val="0"/>
                <w:iCs w:val="0"/>
                <w:color w:val="auto"/>
                <w:kern w:val="0"/>
                <w:sz w:val="24"/>
                <w:szCs w:val="24"/>
                <w:highlight w:val="none"/>
                <w:u w:val="none"/>
                <w:lang w:val="en-US" w:eastAsia="zh-CN" w:bidi="ar"/>
              </w:rPr>
              <w:t>序号</w:t>
            </w:r>
          </w:p>
        </w:tc>
        <w:tc>
          <w:tcPr>
            <w:tcW w:w="91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08E6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center"/>
              <w:textAlignment w:val="center"/>
              <w:rPr>
                <w:rFonts w:hint="default" w:ascii="Times New Roman" w:hAnsi="Times New Roman" w:eastAsia="黑体" w:cs="Times New Roman"/>
                <w:i w:val="0"/>
                <w:iCs w:val="0"/>
                <w:color w:val="auto"/>
                <w:sz w:val="24"/>
                <w:szCs w:val="24"/>
                <w:highlight w:val="none"/>
                <w:u w:val="none"/>
              </w:rPr>
            </w:pPr>
            <w:r>
              <w:rPr>
                <w:rFonts w:hint="default" w:ascii="Times New Roman" w:hAnsi="Times New Roman" w:eastAsia="黑体" w:cs="Times New Roman"/>
                <w:i w:val="0"/>
                <w:iCs w:val="0"/>
                <w:color w:val="auto"/>
                <w:kern w:val="0"/>
                <w:sz w:val="24"/>
                <w:szCs w:val="24"/>
                <w:highlight w:val="none"/>
                <w:u w:val="none"/>
                <w:lang w:val="en-US" w:eastAsia="zh-CN" w:bidi="ar"/>
              </w:rPr>
              <w:t>工作目标和任务</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AA3B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黑体" w:cs="Times New Roman"/>
                <w:i w:val="0"/>
                <w:iCs w:val="0"/>
                <w:color w:val="auto"/>
                <w:sz w:val="24"/>
                <w:szCs w:val="24"/>
                <w:highlight w:val="none"/>
                <w:u w:val="none"/>
              </w:rPr>
            </w:pPr>
            <w:r>
              <w:rPr>
                <w:rFonts w:hint="default" w:ascii="Times New Roman" w:hAnsi="Times New Roman" w:eastAsia="黑体" w:cs="Times New Roman"/>
                <w:i w:val="0"/>
                <w:iCs w:val="0"/>
                <w:color w:val="auto"/>
                <w:kern w:val="0"/>
                <w:sz w:val="24"/>
                <w:szCs w:val="24"/>
                <w:highlight w:val="none"/>
                <w:u w:val="none"/>
                <w:lang w:val="en-US" w:eastAsia="zh-CN" w:bidi="ar"/>
              </w:rPr>
              <w:t>责任单位</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DF14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黑体" w:cs="Times New Roman"/>
                <w:i w:val="0"/>
                <w:iCs w:val="0"/>
                <w:color w:val="auto"/>
                <w:sz w:val="24"/>
                <w:szCs w:val="24"/>
                <w:highlight w:val="none"/>
                <w:u w:val="none"/>
              </w:rPr>
            </w:pPr>
            <w:r>
              <w:rPr>
                <w:rFonts w:hint="default" w:ascii="Times New Roman" w:hAnsi="Times New Roman" w:eastAsia="黑体" w:cs="Times New Roman"/>
                <w:i w:val="0"/>
                <w:iCs w:val="0"/>
                <w:color w:val="auto"/>
                <w:kern w:val="0"/>
                <w:sz w:val="24"/>
                <w:szCs w:val="24"/>
                <w:highlight w:val="none"/>
                <w:u w:val="none"/>
                <w:lang w:val="en-US" w:eastAsia="zh-CN" w:bidi="ar"/>
              </w:rPr>
              <w:t>配合单位</w:t>
            </w:r>
          </w:p>
        </w:tc>
      </w:tr>
      <w:tr w14:paraId="55372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12CE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1</w:t>
            </w:r>
          </w:p>
        </w:tc>
        <w:tc>
          <w:tcPr>
            <w:tcW w:w="91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B70B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2025</w:t>
            </w:r>
            <w:r>
              <w:rPr>
                <w:rFonts w:hint="default" w:ascii="Times New Roman" w:hAnsi="Times New Roman" w:eastAsia="仿宋_GB2312" w:cs="Times New Roman"/>
                <w:i w:val="0"/>
                <w:iCs w:val="0"/>
                <w:color w:val="auto"/>
                <w:kern w:val="0"/>
                <w:sz w:val="24"/>
                <w:szCs w:val="24"/>
                <w:highlight w:val="none"/>
                <w:u w:val="none"/>
                <w:lang w:val="en-US" w:eastAsia="zh-CN" w:bidi="ar"/>
              </w:rPr>
              <w:t>年底，全区人工智能核心产业营业收入突破</w:t>
            </w:r>
            <w:r>
              <w:rPr>
                <w:rStyle w:val="34"/>
                <w:rFonts w:hint="default" w:ascii="Times New Roman" w:hAnsi="Times New Roman" w:eastAsia="宋体" w:cs="Times New Roman"/>
                <w:color w:val="auto"/>
                <w:highlight w:val="none"/>
                <w:lang w:val="en-US" w:eastAsia="zh-CN" w:bidi="ar"/>
              </w:rPr>
              <w:t>1000</w:t>
            </w:r>
            <w:r>
              <w:rPr>
                <w:rFonts w:hint="default" w:ascii="Times New Roman" w:hAnsi="Times New Roman" w:eastAsia="仿宋_GB2312" w:cs="Times New Roman"/>
                <w:i w:val="0"/>
                <w:iCs w:val="0"/>
                <w:color w:val="auto"/>
                <w:kern w:val="0"/>
                <w:sz w:val="24"/>
                <w:szCs w:val="24"/>
                <w:highlight w:val="none"/>
                <w:u w:val="none"/>
                <w:lang w:val="en-US" w:eastAsia="zh-CN" w:bidi="ar"/>
              </w:rPr>
              <w:t>亿元，规模以上企业超</w:t>
            </w:r>
            <w:r>
              <w:rPr>
                <w:rStyle w:val="34"/>
                <w:rFonts w:hint="default" w:ascii="Times New Roman" w:hAnsi="Times New Roman" w:eastAsia="宋体" w:cs="Times New Roman"/>
                <w:color w:val="auto"/>
                <w:highlight w:val="none"/>
                <w:lang w:val="en-US" w:eastAsia="zh-CN" w:bidi="ar"/>
              </w:rPr>
              <w:t>180</w:t>
            </w:r>
            <w:r>
              <w:rPr>
                <w:rFonts w:hint="default" w:ascii="Times New Roman" w:hAnsi="Times New Roman" w:eastAsia="仿宋_GB2312" w:cs="Times New Roman"/>
                <w:i w:val="0"/>
                <w:iCs w:val="0"/>
                <w:color w:val="auto"/>
                <w:kern w:val="0"/>
                <w:sz w:val="24"/>
                <w:szCs w:val="24"/>
                <w:highlight w:val="none"/>
                <w:u w:val="none"/>
                <w:lang w:val="en-US" w:eastAsia="zh-CN" w:bidi="ar"/>
              </w:rPr>
              <w:t>家</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37B9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15F5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cs="Times New Roman"/>
                <w:i w:val="0"/>
                <w:iCs w:val="0"/>
                <w:color w:val="auto"/>
                <w:sz w:val="24"/>
                <w:szCs w:val="24"/>
                <w:highlight w:val="none"/>
                <w:u w:val="none"/>
              </w:rPr>
              <w:t>各平台、镇街</w:t>
            </w:r>
          </w:p>
        </w:tc>
      </w:tr>
      <w:tr w14:paraId="5098D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E142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2</w:t>
            </w:r>
          </w:p>
        </w:tc>
        <w:tc>
          <w:tcPr>
            <w:tcW w:w="91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FD82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累计培育全球领先的基础大模型</w:t>
            </w:r>
            <w:r>
              <w:rPr>
                <w:rStyle w:val="34"/>
                <w:rFonts w:hint="default" w:ascii="Times New Roman" w:hAnsi="Times New Roman" w:eastAsia="宋体" w:cs="Times New Roman"/>
                <w:color w:val="auto"/>
                <w:highlight w:val="none"/>
                <w:lang w:val="en-US" w:eastAsia="zh-CN" w:bidi="ar"/>
              </w:rPr>
              <w:t>1</w:t>
            </w:r>
            <w:r>
              <w:rPr>
                <w:rFonts w:hint="default" w:ascii="Times New Roman" w:hAnsi="Times New Roman" w:eastAsia="仿宋_GB2312" w:cs="Times New Roman"/>
                <w:i w:val="0"/>
                <w:iCs w:val="0"/>
                <w:color w:val="auto"/>
                <w:kern w:val="0"/>
                <w:sz w:val="24"/>
                <w:szCs w:val="24"/>
                <w:highlight w:val="none"/>
                <w:u w:val="none"/>
                <w:lang w:val="en-US" w:eastAsia="zh-CN" w:bidi="ar"/>
              </w:rPr>
              <w:t>个以上，行业领先的垂直大模型</w:t>
            </w:r>
            <w:r>
              <w:rPr>
                <w:rStyle w:val="34"/>
                <w:rFonts w:hint="default" w:ascii="Times New Roman" w:hAnsi="Times New Roman" w:eastAsia="宋体" w:cs="Times New Roman"/>
                <w:color w:val="auto"/>
                <w:highlight w:val="none"/>
                <w:lang w:val="en-US" w:eastAsia="zh-CN" w:bidi="ar"/>
              </w:rPr>
              <w:t>5</w:t>
            </w:r>
            <w:r>
              <w:rPr>
                <w:rFonts w:hint="default" w:ascii="Times New Roman" w:hAnsi="Times New Roman" w:eastAsia="仿宋_GB2312" w:cs="Times New Roman"/>
                <w:i w:val="0"/>
                <w:iCs w:val="0"/>
                <w:color w:val="auto"/>
                <w:kern w:val="0"/>
                <w:sz w:val="24"/>
                <w:szCs w:val="24"/>
                <w:highlight w:val="none"/>
                <w:u w:val="none"/>
                <w:lang w:val="en-US" w:eastAsia="zh-CN" w:bidi="ar"/>
              </w:rPr>
              <w:t>个以上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BE34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94B3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cs="Times New Roman"/>
                <w:i w:val="0"/>
                <w:iCs w:val="0"/>
                <w:color w:val="auto"/>
                <w:sz w:val="24"/>
                <w:szCs w:val="24"/>
                <w:highlight w:val="none"/>
                <w:u w:val="none"/>
              </w:rPr>
              <w:t>区委网信办</w:t>
            </w:r>
          </w:p>
        </w:tc>
      </w:tr>
      <w:tr w14:paraId="1D90B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E16F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3</w:t>
            </w:r>
          </w:p>
        </w:tc>
        <w:tc>
          <w:tcPr>
            <w:tcW w:w="91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4B55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培育</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浙江数商</w:t>
            </w:r>
            <w:r>
              <w:rPr>
                <w:rStyle w:val="34"/>
                <w:rFonts w:hint="default" w:ascii="Times New Roman" w:hAnsi="Times New Roman" w:eastAsia="宋体" w:cs="Times New Roman"/>
                <w:color w:val="auto"/>
                <w:highlight w:val="none"/>
                <w:lang w:val="en-US" w:eastAsia="zh-CN" w:bidi="ar"/>
              </w:rPr>
              <w:t>”</w:t>
            </w:r>
            <w:r>
              <w:rPr>
                <w:rStyle w:val="34"/>
                <w:rFonts w:hint="default" w:ascii="Times New Roman" w:hAnsi="Times New Roman" w:eastAsia="仿宋_GB2312" w:cs="Times New Roman"/>
                <w:color w:val="auto"/>
                <w:highlight w:val="none"/>
                <w:lang w:val="en-US" w:eastAsia="zh-CN" w:bidi="ar"/>
              </w:rPr>
              <w:t>累计</w:t>
            </w:r>
            <w:r>
              <w:rPr>
                <w:rFonts w:hint="default" w:ascii="Times New Roman" w:hAnsi="Times New Roman" w:eastAsia="仿宋_GB2312" w:cs="Times New Roman"/>
                <w:i w:val="0"/>
                <w:iCs w:val="0"/>
                <w:color w:val="auto"/>
                <w:kern w:val="0"/>
                <w:sz w:val="24"/>
                <w:szCs w:val="24"/>
                <w:highlight w:val="none"/>
                <w:u w:val="none"/>
                <w:lang w:val="en-US" w:eastAsia="zh-CN" w:bidi="ar"/>
              </w:rPr>
              <w:t>达</w:t>
            </w:r>
            <w:r>
              <w:rPr>
                <w:rFonts w:hint="default" w:ascii="Times New Roman" w:hAnsi="Times New Roman" w:cs="Times New Roman"/>
                <w:i w:val="0"/>
                <w:iCs w:val="0"/>
                <w:color w:val="auto"/>
                <w:kern w:val="0"/>
                <w:sz w:val="24"/>
                <w:szCs w:val="24"/>
                <w:highlight w:val="none"/>
                <w:u w:val="none"/>
                <w:lang w:val="en-US" w:eastAsia="zh-CN" w:bidi="ar"/>
              </w:rPr>
              <w:t>15</w:t>
            </w:r>
            <w:r>
              <w:rPr>
                <w:rFonts w:hint="default" w:ascii="Times New Roman" w:hAnsi="Times New Roman" w:eastAsia="仿宋_GB2312" w:cs="Times New Roman"/>
                <w:i w:val="0"/>
                <w:iCs w:val="0"/>
                <w:color w:val="auto"/>
                <w:kern w:val="0"/>
                <w:sz w:val="24"/>
                <w:szCs w:val="24"/>
                <w:highlight w:val="none"/>
                <w:u w:val="none"/>
                <w:lang w:val="en-US" w:eastAsia="zh-CN" w:bidi="ar"/>
              </w:rPr>
              <w:t>家</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38AA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cs="Times New Roman"/>
                <w:i w:val="0"/>
                <w:iCs w:val="0"/>
                <w:color w:val="auto"/>
                <w:kern w:val="0"/>
                <w:sz w:val="24"/>
                <w:szCs w:val="24"/>
                <w:highlight w:val="none"/>
                <w:u w:val="none"/>
                <w:lang w:val="en-US" w:eastAsia="zh-CN" w:bidi="ar"/>
              </w:rPr>
            </w:pPr>
            <w:r>
              <w:rPr>
                <w:rFonts w:hint="default" w:ascii="Times New Roman" w:hAnsi="Times New Roman" w:cs="Times New Roman"/>
                <w:i w:val="0"/>
                <w:iCs w:val="0"/>
                <w:color w:val="auto"/>
                <w:kern w:val="0"/>
                <w:sz w:val="24"/>
                <w:szCs w:val="24"/>
                <w:highlight w:val="none"/>
                <w:u w:val="none"/>
                <w:lang w:val="en-US" w:eastAsia="zh-CN" w:bidi="ar"/>
              </w:rPr>
              <w:t>区经信局、</w:t>
            </w:r>
          </w:p>
          <w:p w14:paraId="01F9ECB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区数管局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0551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rPr>
                <w:rFonts w:hint="default" w:ascii="Times New Roman" w:hAnsi="Times New Roman"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20291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33F6A">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4</w:t>
            </w:r>
          </w:p>
        </w:tc>
        <w:tc>
          <w:tcPr>
            <w:tcW w:w="91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C439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投入市场的智算规模超过</w:t>
            </w:r>
            <w:r>
              <w:rPr>
                <w:rStyle w:val="34"/>
                <w:rFonts w:hint="default" w:ascii="Times New Roman" w:hAnsi="Times New Roman" w:eastAsia="宋体" w:cs="Times New Roman"/>
                <w:color w:val="auto"/>
                <w:highlight w:val="none"/>
                <w:lang w:val="en-US" w:eastAsia="zh-CN" w:bidi="ar"/>
              </w:rPr>
              <w:t>20EFLOPS</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DF9A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区发改局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1B4B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rPr>
                <w:rFonts w:hint="default" w:ascii="Times New Roman" w:hAnsi="Times New Roman" w:eastAsia="仿宋_GB2312" w:cs="Times New Roman"/>
                <w:i w:val="0"/>
                <w:iCs w:val="0"/>
                <w:color w:val="auto"/>
                <w:sz w:val="24"/>
                <w:szCs w:val="24"/>
                <w:highlight w:val="none"/>
                <w:u w:val="none"/>
                <w:lang w:eastAsia="zh-CN"/>
              </w:rPr>
            </w:pPr>
            <w:r>
              <w:rPr>
                <w:rFonts w:hint="default" w:ascii="Times New Roman" w:hAnsi="Times New Roman" w:cs="Times New Roman"/>
                <w:i w:val="0"/>
                <w:iCs w:val="0"/>
                <w:color w:val="auto"/>
                <w:sz w:val="24"/>
                <w:szCs w:val="24"/>
                <w:highlight w:val="none"/>
                <w:u w:val="none"/>
                <w:lang w:eastAsia="zh-CN"/>
              </w:rPr>
              <w:t>区经信局</w:t>
            </w:r>
          </w:p>
        </w:tc>
      </w:tr>
      <w:tr w14:paraId="47CEC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B505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5</w:t>
            </w:r>
          </w:p>
        </w:tc>
        <w:tc>
          <w:tcPr>
            <w:tcW w:w="91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0FAC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累计投向人工智能产业方向基金规模突破</w:t>
            </w:r>
            <w:r>
              <w:rPr>
                <w:rStyle w:val="34"/>
                <w:rFonts w:hint="default" w:ascii="Times New Roman" w:hAnsi="Times New Roman" w:eastAsia="宋体" w:cs="Times New Roman"/>
                <w:color w:val="auto"/>
                <w:highlight w:val="none"/>
                <w:lang w:val="en-US" w:eastAsia="zh-CN" w:bidi="ar"/>
              </w:rPr>
              <w:t>300</w:t>
            </w:r>
            <w:r>
              <w:rPr>
                <w:rFonts w:hint="default" w:ascii="Times New Roman" w:hAnsi="Times New Roman" w:eastAsia="仿宋_GB2312" w:cs="Times New Roman"/>
                <w:i w:val="0"/>
                <w:iCs w:val="0"/>
                <w:color w:val="auto"/>
                <w:kern w:val="0"/>
                <w:sz w:val="24"/>
                <w:szCs w:val="24"/>
                <w:highlight w:val="none"/>
                <w:u w:val="none"/>
                <w:lang w:val="en-US" w:eastAsia="zh-CN" w:bidi="ar"/>
              </w:rPr>
              <w:t>亿元</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D195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区国投集团</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CF2B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0D05C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20E0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6</w:t>
            </w:r>
          </w:p>
        </w:tc>
        <w:tc>
          <w:tcPr>
            <w:tcW w:w="91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BCB05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在制造、医疗、交通、教育、社会治理等领域培育形成</w:t>
            </w:r>
            <w:r>
              <w:rPr>
                <w:rStyle w:val="34"/>
                <w:rFonts w:hint="default" w:ascii="Times New Roman" w:hAnsi="Times New Roman" w:eastAsia="宋体" w:cs="Times New Roman"/>
                <w:color w:val="auto"/>
                <w:highlight w:val="none"/>
                <w:lang w:val="en-US" w:eastAsia="zh-CN" w:bidi="ar"/>
              </w:rPr>
              <w:t>10</w:t>
            </w:r>
            <w:r>
              <w:rPr>
                <w:rFonts w:hint="default" w:ascii="Times New Roman" w:hAnsi="Times New Roman" w:eastAsia="仿宋_GB2312" w:cs="Times New Roman"/>
                <w:i w:val="0"/>
                <w:iCs w:val="0"/>
                <w:color w:val="auto"/>
                <w:kern w:val="0"/>
                <w:sz w:val="24"/>
                <w:szCs w:val="24"/>
                <w:highlight w:val="none"/>
                <w:u w:val="none"/>
                <w:lang w:val="en-US" w:eastAsia="zh-CN" w:bidi="ar"/>
              </w:rPr>
              <w:t>个以上具有引领示范作用</w:t>
            </w:r>
            <w:r>
              <w:rPr>
                <w:rStyle w:val="34"/>
                <w:rFonts w:hint="default" w:ascii="Times New Roman" w:hAnsi="Times New Roman" w:eastAsia="宋体" w:cs="Times New Roman"/>
                <w:color w:val="auto"/>
                <w:highlight w:val="none"/>
                <w:lang w:val="en-US" w:eastAsia="zh-CN" w:bidi="ar"/>
              </w:rPr>
              <w:br w:type="textWrapping"/>
            </w:r>
            <w:r>
              <w:rPr>
                <w:rFonts w:hint="default" w:ascii="Times New Roman" w:hAnsi="Times New Roman" w:eastAsia="仿宋_GB2312" w:cs="Times New Roman"/>
                <w:i w:val="0"/>
                <w:iCs w:val="0"/>
                <w:color w:val="auto"/>
                <w:kern w:val="0"/>
                <w:sz w:val="24"/>
                <w:szCs w:val="24"/>
                <w:highlight w:val="none"/>
                <w:u w:val="none"/>
                <w:lang w:val="en-US" w:eastAsia="zh-CN" w:bidi="ar"/>
              </w:rPr>
              <w:t>的</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人工智能</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应用场景</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FDF5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区发改局</w:t>
            </w:r>
            <w:r>
              <w:rPr>
                <w:rFonts w:hint="default" w:ascii="Times New Roman" w:hAnsi="Times New Roman" w:cs="Times New Roman"/>
                <w:i w:val="0"/>
                <w:iCs w:val="0"/>
                <w:color w:val="auto"/>
                <w:kern w:val="0"/>
                <w:sz w:val="24"/>
                <w:szCs w:val="24"/>
                <w:highlight w:val="none"/>
                <w:u w:val="none"/>
                <w:lang w:val="en-US" w:eastAsia="zh-CN" w:bidi="ar"/>
              </w:rPr>
              <w:t>、</w:t>
            </w:r>
          </w:p>
          <w:p w14:paraId="7974713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cs="Times New Roman"/>
                <w:i w:val="0"/>
                <w:iCs w:val="0"/>
                <w:color w:val="auto"/>
                <w:sz w:val="24"/>
                <w:szCs w:val="24"/>
                <w:highlight w:val="none"/>
                <w:u w:val="none"/>
                <w:lang w:eastAsia="zh-CN"/>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1578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626DE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39E8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7</w:t>
            </w:r>
          </w:p>
        </w:tc>
        <w:tc>
          <w:tcPr>
            <w:tcW w:w="1796" w:type="dxa"/>
            <w:vMerge w:val="restart"/>
            <w:tcBorders>
              <w:top w:val="single" w:color="000000" w:sz="4" w:space="0"/>
              <w:left w:val="single" w:color="000000" w:sz="4" w:space="0"/>
              <w:right w:val="single" w:color="000000" w:sz="4" w:space="0"/>
            </w:tcBorders>
            <w:shd w:val="clear" w:color="auto" w:fill="auto"/>
            <w:vAlign w:val="center"/>
          </w:tcPr>
          <w:p w14:paraId="2A65B3D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sz w:val="24"/>
                <w:szCs w:val="24"/>
                <w:highlight w:val="none"/>
                <w:u w:val="none"/>
              </w:rPr>
            </w:pPr>
            <w:r>
              <w:rPr>
                <w:rFonts w:hint="default" w:ascii="Times New Roman" w:hAnsi="Times New Roman" w:eastAsia="楷体_GB2312" w:cs="Times New Roman"/>
                <w:i w:val="0"/>
                <w:iCs w:val="0"/>
                <w:color w:val="auto"/>
                <w:kern w:val="0"/>
                <w:sz w:val="24"/>
                <w:szCs w:val="24"/>
                <w:highlight w:val="none"/>
                <w:u w:val="none"/>
                <w:lang w:val="en-US" w:eastAsia="zh-CN" w:bidi="ar"/>
              </w:rPr>
              <w:t>聚力“强创新”</w:t>
            </w:r>
            <w:r>
              <w:rPr>
                <w:rFonts w:hint="default" w:ascii="Times New Roman" w:hAnsi="Times New Roman" w:eastAsia="楷体_GB2312" w:cs="Times New Roman"/>
                <w:i w:val="0"/>
                <w:iCs w:val="0"/>
                <w:color w:val="auto"/>
                <w:kern w:val="0"/>
                <w:sz w:val="24"/>
                <w:szCs w:val="24"/>
                <w:highlight w:val="none"/>
                <w:u w:val="none"/>
                <w:lang w:val="en-US" w:eastAsia="zh-CN" w:bidi="ar"/>
              </w:rPr>
              <w:br w:type="textWrapping"/>
            </w:r>
            <w:r>
              <w:rPr>
                <w:rFonts w:hint="default" w:ascii="Times New Roman" w:hAnsi="Times New Roman" w:eastAsia="楷体_GB2312" w:cs="Times New Roman"/>
                <w:i w:val="0"/>
                <w:iCs w:val="0"/>
                <w:color w:val="auto"/>
                <w:kern w:val="0"/>
                <w:sz w:val="24"/>
                <w:szCs w:val="24"/>
                <w:highlight w:val="none"/>
                <w:u w:val="none"/>
                <w:lang w:val="en-US" w:eastAsia="zh-CN" w:bidi="ar"/>
              </w:rPr>
              <w:t>实施创新突破工程</w:t>
            </w: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68C9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2"/>
                <w:sz w:val="24"/>
                <w:szCs w:val="24"/>
                <w:highlight w:val="none"/>
                <w:u w:val="none"/>
                <w:lang w:val="en-US" w:eastAsia="zh-CN" w:bidi="ar-SA"/>
              </w:rPr>
              <w:t>聚焦人工智能核心领域，深化产学研合作，发挥创新券作用，引导和支持区内创新主体攻克制约人工智能产业发展的关键核心技术，实施人工智能领域重大科技研发攻关项目10个以上，力争在新领域新赛道形成优势</w:t>
            </w:r>
            <w:r>
              <w:rPr>
                <w:rFonts w:hint="default" w:ascii="Times New Roman" w:hAnsi="Times New Roman" w:cs="Times New Roman"/>
                <w:i w:val="0"/>
                <w:iCs w:val="0"/>
                <w:color w:val="auto"/>
                <w:kern w:val="2"/>
                <w:sz w:val="24"/>
                <w:szCs w:val="24"/>
                <w:highlight w:val="none"/>
                <w:u w:val="none"/>
                <w:lang w:val="en-US" w:eastAsia="zh-CN" w:bidi="ar-SA"/>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C764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区科技局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5F0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kern w:val="2"/>
                <w:sz w:val="24"/>
                <w:szCs w:val="24"/>
                <w:highlight w:val="none"/>
                <w:u w:val="none"/>
                <w:lang w:val="en-US" w:eastAsia="zh-CN" w:bidi="ar-SA"/>
              </w:rPr>
              <w:t>/</w:t>
            </w:r>
          </w:p>
        </w:tc>
      </w:tr>
      <w:tr w14:paraId="33FD1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542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lang w:val="en-US" w:eastAsia="zh-CN"/>
              </w:rPr>
            </w:pPr>
            <w:r>
              <w:rPr>
                <w:rFonts w:hint="default" w:ascii="Times New Roman" w:hAnsi="Times New Roman" w:eastAsia="宋体" w:cs="Times New Roman"/>
                <w:i w:val="0"/>
                <w:iCs w:val="0"/>
                <w:color w:val="auto"/>
                <w:sz w:val="24"/>
                <w:szCs w:val="24"/>
                <w:highlight w:val="none"/>
                <w:u w:val="none"/>
                <w:lang w:val="en-US" w:eastAsia="zh-CN"/>
              </w:rPr>
              <w:t>8</w:t>
            </w:r>
          </w:p>
        </w:tc>
        <w:tc>
          <w:tcPr>
            <w:tcW w:w="1796" w:type="dxa"/>
            <w:vMerge w:val="continue"/>
            <w:tcBorders>
              <w:left w:val="single" w:color="000000" w:sz="4" w:space="0"/>
              <w:right w:val="single" w:color="000000" w:sz="4" w:space="0"/>
            </w:tcBorders>
            <w:shd w:val="clear" w:color="auto" w:fill="auto"/>
            <w:vAlign w:val="center"/>
          </w:tcPr>
          <w:p w14:paraId="1FFFC0F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AC50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2"/>
                <w:sz w:val="24"/>
                <w:szCs w:val="24"/>
                <w:highlight w:val="none"/>
                <w:u w:val="none"/>
                <w:lang w:val="en-US" w:eastAsia="zh-CN" w:bidi="ar-SA"/>
              </w:rPr>
              <w:t>持续做好浙江新型算力中心万卡集群建设指导</w:t>
            </w:r>
            <w:r>
              <w:rPr>
                <w:rFonts w:hint="default" w:ascii="Times New Roman" w:hAnsi="Times New Roman" w:cs="Times New Roman"/>
                <w:i w:val="0"/>
                <w:iCs w:val="0"/>
                <w:color w:val="auto"/>
                <w:kern w:val="2"/>
                <w:sz w:val="24"/>
                <w:szCs w:val="24"/>
                <w:highlight w:val="none"/>
                <w:u w:val="none"/>
                <w:lang w:val="en-US" w:eastAsia="zh-CN" w:bidi="ar-SA"/>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88BA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区发改局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2756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549C5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F3E0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9</w:t>
            </w:r>
          </w:p>
        </w:tc>
        <w:tc>
          <w:tcPr>
            <w:tcW w:w="1796" w:type="dxa"/>
            <w:vMerge w:val="continue"/>
            <w:tcBorders>
              <w:left w:val="single" w:color="000000" w:sz="4" w:space="0"/>
              <w:right w:val="single" w:color="000000" w:sz="4" w:space="0"/>
            </w:tcBorders>
            <w:shd w:val="clear" w:color="auto" w:fill="auto"/>
            <w:vAlign w:val="center"/>
          </w:tcPr>
          <w:p w14:paraId="7701FAC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6258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支持之江实验室新型算力中心等算力供给方开放运营，完善“算力伙伴”名单，推动算力供需高效匹配，降低算力综合成本。</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EA66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ED32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cs="Times New Roman"/>
                <w:i w:val="0"/>
                <w:iCs w:val="0"/>
                <w:color w:val="auto"/>
                <w:kern w:val="0"/>
                <w:sz w:val="24"/>
                <w:szCs w:val="24"/>
                <w:highlight w:val="none"/>
                <w:u w:val="none"/>
                <w:lang w:val="en-US" w:eastAsia="zh-CN" w:bidi="ar"/>
              </w:rPr>
            </w:pPr>
            <w:r>
              <w:rPr>
                <w:rFonts w:hint="default" w:ascii="Times New Roman" w:hAnsi="Times New Roman" w:cs="Times New Roman"/>
                <w:i w:val="0"/>
                <w:iCs w:val="0"/>
                <w:color w:val="auto"/>
                <w:kern w:val="0"/>
                <w:sz w:val="24"/>
                <w:szCs w:val="24"/>
                <w:highlight w:val="none"/>
                <w:u w:val="none"/>
                <w:lang w:val="en-US" w:eastAsia="zh-CN" w:bidi="ar"/>
              </w:rPr>
              <w:t>/</w:t>
            </w:r>
          </w:p>
        </w:tc>
      </w:tr>
      <w:tr w14:paraId="4441D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B4A4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10</w:t>
            </w:r>
          </w:p>
        </w:tc>
        <w:tc>
          <w:tcPr>
            <w:tcW w:w="1796" w:type="dxa"/>
            <w:vMerge w:val="continue"/>
            <w:tcBorders>
              <w:left w:val="single" w:color="000000" w:sz="4" w:space="0"/>
              <w:right w:val="single" w:color="000000" w:sz="4" w:space="0"/>
            </w:tcBorders>
            <w:shd w:val="clear" w:color="auto" w:fill="auto"/>
            <w:vAlign w:val="center"/>
          </w:tcPr>
          <w:p w14:paraId="69A1838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E8A0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 w:bidi="ar"/>
              </w:rPr>
              <w:t>加快</w:t>
            </w:r>
            <w:r>
              <w:rPr>
                <w:rFonts w:hint="default" w:ascii="Times New Roman" w:hAnsi="Times New Roman" w:eastAsia="仿宋_GB2312" w:cs="Times New Roman"/>
                <w:i w:val="0"/>
                <w:iCs w:val="0"/>
                <w:color w:val="auto"/>
                <w:kern w:val="0"/>
                <w:sz w:val="24"/>
                <w:szCs w:val="24"/>
                <w:highlight w:val="none"/>
                <w:u w:val="none"/>
                <w:lang w:val="en-US" w:eastAsia="zh-CN" w:bidi="ar"/>
              </w:rPr>
              <w:t>“算力券”政策</w:t>
            </w:r>
            <w:r>
              <w:rPr>
                <w:rFonts w:hint="default" w:ascii="Times New Roman" w:hAnsi="Times New Roman" w:eastAsia="仿宋_GB2312" w:cs="Times New Roman"/>
                <w:i w:val="0"/>
                <w:iCs w:val="0"/>
                <w:color w:val="auto"/>
                <w:kern w:val="0"/>
                <w:sz w:val="24"/>
                <w:szCs w:val="24"/>
                <w:highlight w:val="none"/>
                <w:u w:val="none"/>
                <w:lang w:val="en-US" w:eastAsia="zh" w:bidi="ar"/>
              </w:rPr>
              <w:t>落地</w:t>
            </w:r>
            <w:r>
              <w:rPr>
                <w:rFonts w:hint="default" w:ascii="Times New Roman" w:hAnsi="Times New Roman" w:eastAsia="仿宋_GB2312" w:cs="Times New Roman"/>
                <w:i w:val="0"/>
                <w:iCs w:val="0"/>
                <w:color w:val="auto"/>
                <w:kern w:val="0"/>
                <w:sz w:val="24"/>
                <w:szCs w:val="24"/>
                <w:highlight w:val="none"/>
                <w:u w:val="none"/>
                <w:lang w:val="en-US" w:eastAsia="zh-CN" w:bidi="ar"/>
              </w:rPr>
              <w:t>，支持企业购买算力服务</w:t>
            </w:r>
            <w:r>
              <w:rPr>
                <w:rFonts w:hint="default" w:ascii="Times New Roman" w:hAnsi="Times New Roman" w:cs="Times New Roman"/>
                <w:i w:val="0"/>
                <w:iCs w:val="0"/>
                <w:color w:val="auto"/>
                <w:kern w:val="0"/>
                <w:sz w:val="24"/>
                <w:szCs w:val="24"/>
                <w:highlight w:val="none"/>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92E1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55C4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rPr>
                <w:rFonts w:hint="default" w:ascii="Times New Roman" w:hAnsi="Times New Roman" w:cs="Times New Roman"/>
                <w:i w:val="0"/>
                <w:iCs w:val="0"/>
                <w:color w:val="auto"/>
                <w:kern w:val="0"/>
                <w:sz w:val="24"/>
                <w:szCs w:val="24"/>
                <w:highlight w:val="none"/>
                <w:u w:val="none"/>
                <w:lang w:val="en-US" w:eastAsia="zh-CN" w:bidi="ar"/>
              </w:rPr>
            </w:pPr>
            <w:r>
              <w:rPr>
                <w:rFonts w:hint="default" w:ascii="Times New Roman" w:hAnsi="Times New Roman" w:cs="Times New Roman"/>
                <w:i w:val="0"/>
                <w:iCs w:val="0"/>
                <w:color w:val="auto"/>
                <w:kern w:val="0"/>
                <w:sz w:val="24"/>
                <w:szCs w:val="24"/>
                <w:highlight w:val="none"/>
                <w:u w:val="none"/>
                <w:lang w:val="en-US" w:eastAsia="zh-CN" w:bidi="ar"/>
              </w:rPr>
              <w:t>区财政局</w:t>
            </w:r>
          </w:p>
        </w:tc>
      </w:tr>
      <w:tr w14:paraId="1339E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74DF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lang w:val="en-US" w:eastAsia="zh-CN"/>
              </w:rPr>
            </w:pPr>
            <w:r>
              <w:rPr>
                <w:rFonts w:hint="default" w:ascii="Times New Roman" w:hAnsi="Times New Roman" w:eastAsia="宋体" w:cs="Times New Roman"/>
                <w:i w:val="0"/>
                <w:iCs w:val="0"/>
                <w:color w:val="auto"/>
                <w:sz w:val="24"/>
                <w:szCs w:val="24"/>
                <w:highlight w:val="none"/>
                <w:u w:val="none"/>
                <w:lang w:val="en-US" w:eastAsia="zh-CN"/>
              </w:rPr>
              <w:t>11</w:t>
            </w:r>
          </w:p>
        </w:tc>
        <w:tc>
          <w:tcPr>
            <w:tcW w:w="1796" w:type="dxa"/>
            <w:vMerge w:val="continue"/>
            <w:tcBorders>
              <w:left w:val="single" w:color="000000" w:sz="4" w:space="0"/>
              <w:right w:val="single" w:color="000000" w:sz="4" w:space="0"/>
            </w:tcBorders>
            <w:shd w:val="clear" w:color="auto" w:fill="auto"/>
            <w:vAlign w:val="center"/>
          </w:tcPr>
          <w:p w14:paraId="52F8399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4B17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cs="Times New Roman"/>
                <w:b w:val="0"/>
                <w:bCs w:val="0"/>
                <w:i w:val="0"/>
                <w:iCs w:val="0"/>
                <w:caps w:val="0"/>
                <w:color w:val="auto"/>
                <w:spacing w:val="0"/>
                <w:kern w:val="0"/>
                <w:sz w:val="24"/>
                <w:szCs w:val="24"/>
                <w:highlight w:val="none"/>
                <w:u w:val="none"/>
                <w:shd w:val="clear"/>
                <w:lang w:eastAsia="zh-CN" w:bidi="ar"/>
              </w:rPr>
              <w:t>支持之江实验室地理、天文等科学基础模型面向全球开源开放。支持湖畔实验室与中国互联网协会联合发起“DAMO开发者矩阵”生态社区，构建开放共享开发者生态。</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A8D94">
            <w:pPr>
              <w:keepNext w:val="0"/>
              <w:keepLines w:val="0"/>
              <w:widowControl/>
              <w:suppressLineNumbers w:val="0"/>
              <w:shd w:val="clear"/>
              <w:spacing w:before="0" w:beforeAutospacing="0" w:after="0" w:afterAutospacing="0" w:line="320" w:lineRule="exact"/>
              <w:ind w:left="0" w:leftChars="0" w:right="0" w:firstLine="0" w:firstLineChars="0"/>
              <w:jc w:val="left"/>
              <w:textAlignment w:val="center"/>
              <w:rPr>
                <w:rFonts w:hint="default" w:ascii="Times New Roman" w:hAnsi="Times New Roman" w:eastAsia="仿宋_GB2312" w:cs="Times New Roman"/>
                <w:color w:val="auto"/>
                <w:kern w:val="0"/>
                <w:sz w:val="24"/>
                <w:szCs w:val="24"/>
                <w:highlight w:val="none"/>
                <w:u w:val="none"/>
                <w:lang w:val="en-US" w:eastAsia="zh-CN" w:bidi="ar"/>
              </w:rPr>
            </w:pPr>
            <w:r>
              <w:rPr>
                <w:rFonts w:hint="default" w:ascii="Times New Roman" w:hAnsi="Times New Roman" w:cs="Times New Roman"/>
                <w:i w:val="0"/>
                <w:iCs w:val="0"/>
                <w:color w:val="auto"/>
                <w:kern w:val="0"/>
                <w:sz w:val="24"/>
                <w:szCs w:val="24"/>
                <w:highlight w:val="none"/>
                <w:u w:val="none"/>
                <w:lang w:eastAsia="zh-CN" w:bidi="ar"/>
              </w:rPr>
              <w:t>区经信局、</w:t>
            </w:r>
            <w:r>
              <w:rPr>
                <w:rFonts w:hint="default" w:ascii="Times New Roman" w:hAnsi="Times New Roman" w:eastAsia="仿宋_GB2312" w:cs="Times New Roman"/>
                <w:i w:val="0"/>
                <w:iCs w:val="0"/>
                <w:color w:val="auto"/>
                <w:kern w:val="0"/>
                <w:sz w:val="24"/>
                <w:szCs w:val="24"/>
                <w:highlight w:val="none"/>
                <w:u w:val="none"/>
                <w:lang w:val="en-US" w:eastAsia="zh-CN" w:bidi="ar"/>
              </w:rPr>
              <w:t>区发改局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6A0A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kern w:val="2"/>
                <w:sz w:val="24"/>
                <w:szCs w:val="24"/>
                <w:highlight w:val="none"/>
                <w:u w:val="none"/>
                <w:lang w:val="en-US" w:eastAsia="zh-CN" w:bidi="ar-SA"/>
              </w:rPr>
              <w:t>/</w:t>
            </w:r>
          </w:p>
        </w:tc>
      </w:tr>
      <w:tr w14:paraId="1F4BE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6821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lang w:val="en-US" w:eastAsia="zh-CN"/>
              </w:rPr>
            </w:pPr>
            <w:r>
              <w:rPr>
                <w:rFonts w:hint="default" w:ascii="Times New Roman" w:hAnsi="Times New Roman" w:eastAsia="宋体" w:cs="Times New Roman"/>
                <w:i w:val="0"/>
                <w:iCs w:val="0"/>
                <w:color w:val="auto"/>
                <w:sz w:val="24"/>
                <w:szCs w:val="24"/>
                <w:highlight w:val="none"/>
                <w:u w:val="none"/>
                <w:lang w:val="en-US" w:eastAsia="zh-CN"/>
              </w:rPr>
              <w:t>12</w:t>
            </w:r>
          </w:p>
        </w:tc>
        <w:tc>
          <w:tcPr>
            <w:tcW w:w="1796" w:type="dxa"/>
            <w:vMerge w:val="continue"/>
            <w:tcBorders>
              <w:left w:val="single" w:color="000000" w:sz="4" w:space="0"/>
              <w:right w:val="single" w:color="000000" w:sz="4" w:space="0"/>
            </w:tcBorders>
            <w:shd w:val="clear" w:color="auto" w:fill="auto"/>
            <w:vAlign w:val="center"/>
          </w:tcPr>
          <w:p w14:paraId="58FF2B7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33E4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研究实施“模型券”政策，支持企业基于模型服务开展研发应用。</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DD1F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E29C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sz w:val="24"/>
                <w:szCs w:val="24"/>
                <w:highlight w:val="none"/>
                <w:u w:val="none"/>
              </w:rPr>
              <w:t>区财政局</w:t>
            </w:r>
          </w:p>
        </w:tc>
      </w:tr>
      <w:tr w14:paraId="258A6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6E4C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lang w:val="en-US"/>
              </w:rPr>
            </w:pPr>
            <w:r>
              <w:rPr>
                <w:rFonts w:hint="default" w:ascii="Times New Roman" w:hAnsi="Times New Roman" w:eastAsia="宋体" w:cs="Times New Roman"/>
                <w:i w:val="0"/>
                <w:iCs w:val="0"/>
                <w:color w:val="auto"/>
                <w:kern w:val="0"/>
                <w:sz w:val="24"/>
                <w:szCs w:val="24"/>
                <w:highlight w:val="none"/>
                <w:u w:val="none"/>
                <w:lang w:val="en-US" w:eastAsia="zh-CN" w:bidi="ar"/>
              </w:rPr>
              <w:t>13</w:t>
            </w:r>
          </w:p>
        </w:tc>
        <w:tc>
          <w:tcPr>
            <w:tcW w:w="1796" w:type="dxa"/>
            <w:vMerge w:val="continue"/>
            <w:tcBorders>
              <w:left w:val="single" w:color="000000" w:sz="4" w:space="0"/>
              <w:right w:val="single" w:color="000000" w:sz="4" w:space="0"/>
            </w:tcBorders>
            <w:shd w:val="clear" w:color="auto" w:fill="auto"/>
            <w:vAlign w:val="center"/>
          </w:tcPr>
          <w:p w14:paraId="356649B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548C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支持同花顺、</w:t>
            </w:r>
            <w:r>
              <w:rPr>
                <w:rFonts w:hint="default" w:ascii="Times New Roman" w:hAnsi="Times New Roman" w:cs="Times New Roman"/>
                <w:i w:val="0"/>
                <w:iCs w:val="0"/>
                <w:color w:val="auto"/>
                <w:kern w:val="0"/>
                <w:sz w:val="24"/>
                <w:szCs w:val="24"/>
                <w:highlight w:val="none"/>
                <w:u w:val="none"/>
                <w:lang w:val="en-US" w:eastAsia="zh-CN" w:bidi="ar"/>
              </w:rPr>
              <w:t>高德数科</w:t>
            </w:r>
            <w:r>
              <w:rPr>
                <w:rFonts w:hint="default" w:ascii="Times New Roman" w:hAnsi="Times New Roman" w:eastAsia="仿宋_GB2312" w:cs="Times New Roman"/>
                <w:i w:val="0"/>
                <w:iCs w:val="0"/>
                <w:color w:val="auto"/>
                <w:kern w:val="0"/>
                <w:sz w:val="24"/>
                <w:szCs w:val="24"/>
                <w:highlight w:val="none"/>
                <w:u w:val="none"/>
                <w:lang w:val="en-US" w:eastAsia="zh-CN" w:bidi="ar"/>
              </w:rPr>
              <w:t>等企业，在金融、交通等领域打造行业高质量数据集，支持之江实验室建设国家科学语料库，推进“中国飞谷”低空可信数据空间建设运营</w:t>
            </w:r>
            <w:r>
              <w:rPr>
                <w:rFonts w:hint="default" w:ascii="Times New Roman" w:hAnsi="Times New Roman" w:cs="Times New Roman"/>
                <w:i w:val="0"/>
                <w:iCs w:val="0"/>
                <w:color w:val="auto"/>
                <w:kern w:val="0"/>
                <w:sz w:val="24"/>
                <w:szCs w:val="24"/>
                <w:highlight w:val="none"/>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B874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区数管局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8999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7EDBE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CF30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z w:val="24"/>
                <w:szCs w:val="24"/>
                <w:highlight w:val="none"/>
                <w:u w:val="none"/>
                <w:lang w:val="en-US"/>
              </w:rPr>
            </w:pPr>
            <w:r>
              <w:rPr>
                <w:rFonts w:hint="default" w:ascii="Times New Roman" w:hAnsi="Times New Roman" w:eastAsia="宋体" w:cs="Times New Roman"/>
                <w:i w:val="0"/>
                <w:iCs w:val="0"/>
                <w:color w:val="auto"/>
                <w:kern w:val="0"/>
                <w:sz w:val="24"/>
                <w:szCs w:val="24"/>
                <w:highlight w:val="none"/>
                <w:u w:val="none"/>
                <w:lang w:val="en-US" w:eastAsia="zh-CN" w:bidi="ar"/>
              </w:rPr>
              <w:t>14</w:t>
            </w:r>
          </w:p>
        </w:tc>
        <w:tc>
          <w:tcPr>
            <w:tcW w:w="1796" w:type="dxa"/>
            <w:vMerge w:val="continue"/>
            <w:tcBorders>
              <w:left w:val="single" w:color="000000" w:sz="4" w:space="0"/>
              <w:right w:val="single" w:color="000000" w:sz="4" w:space="0"/>
            </w:tcBorders>
            <w:shd w:val="clear" w:color="auto" w:fill="auto"/>
            <w:vAlign w:val="center"/>
          </w:tcPr>
          <w:p w14:paraId="3FF8332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99EB">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深化浙江大数据交易服务平台余杭专区和杭州数据交易所余杭专区建设，规范开展数据交易流通。</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4174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区数管局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11E43">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sz w:val="24"/>
                <w:szCs w:val="24"/>
                <w:highlight w:val="none"/>
                <w:u w:val="none"/>
                <w:lang w:eastAsia="zh-CN"/>
              </w:rPr>
              <w:t>区国投集团</w:t>
            </w:r>
          </w:p>
        </w:tc>
      </w:tr>
      <w:tr w14:paraId="66CC6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AA1CB">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15</w:t>
            </w:r>
          </w:p>
        </w:tc>
        <w:tc>
          <w:tcPr>
            <w:tcW w:w="1796" w:type="dxa"/>
            <w:vMerge w:val="continue"/>
            <w:tcBorders>
              <w:left w:val="single" w:color="000000" w:sz="4" w:space="0"/>
              <w:right w:val="single" w:color="000000" w:sz="4" w:space="0"/>
            </w:tcBorders>
            <w:shd w:val="clear" w:color="auto" w:fill="auto"/>
            <w:vAlign w:val="center"/>
          </w:tcPr>
          <w:p w14:paraId="60F6797A">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2277A">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健全公共数据授权运营机制，有序推进数据知识产权登记、数据资源登记。</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C364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区数管局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62BF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kern w:val="0"/>
                <w:sz w:val="24"/>
                <w:szCs w:val="24"/>
                <w:highlight w:val="none"/>
                <w:u w:val="none"/>
                <w:lang w:val="en-US" w:eastAsia="zh-CN" w:bidi="ar"/>
              </w:rPr>
              <w:t>区市场监管局</w:t>
            </w:r>
          </w:p>
        </w:tc>
      </w:tr>
      <w:tr w14:paraId="69F91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A60C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16</w:t>
            </w:r>
          </w:p>
        </w:tc>
        <w:tc>
          <w:tcPr>
            <w:tcW w:w="1796" w:type="dxa"/>
            <w:vMerge w:val="restart"/>
            <w:tcBorders>
              <w:top w:val="single" w:color="000000" w:sz="4" w:space="0"/>
              <w:left w:val="single" w:color="000000" w:sz="4" w:space="0"/>
              <w:right w:val="single" w:color="000000" w:sz="4" w:space="0"/>
            </w:tcBorders>
            <w:shd w:val="clear" w:color="auto" w:fill="auto"/>
            <w:vAlign w:val="center"/>
          </w:tcPr>
          <w:p w14:paraId="06DCF30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kern w:val="2"/>
                <w:sz w:val="24"/>
                <w:szCs w:val="24"/>
                <w:highlight w:val="none"/>
                <w:u w:val="none"/>
                <w:lang w:val="en-US" w:eastAsia="zh-CN" w:bidi="ar-SA"/>
              </w:rPr>
            </w:pPr>
            <w:r>
              <w:rPr>
                <w:rFonts w:hint="default" w:ascii="Times New Roman" w:hAnsi="Times New Roman" w:eastAsia="楷体_GB2312" w:cs="Times New Roman"/>
                <w:i w:val="0"/>
                <w:iCs w:val="0"/>
                <w:color w:val="auto"/>
                <w:kern w:val="0"/>
                <w:sz w:val="24"/>
                <w:szCs w:val="24"/>
                <w:highlight w:val="none"/>
                <w:u w:val="none"/>
                <w:lang w:val="en-US" w:eastAsia="zh-CN" w:bidi="ar"/>
              </w:rPr>
              <w:t>聚力“强主体”</w:t>
            </w:r>
            <w:r>
              <w:rPr>
                <w:rFonts w:hint="default" w:ascii="Times New Roman" w:hAnsi="Times New Roman" w:eastAsia="楷体_GB2312" w:cs="Times New Roman"/>
                <w:i w:val="0"/>
                <w:iCs w:val="0"/>
                <w:color w:val="auto"/>
                <w:kern w:val="0"/>
                <w:sz w:val="24"/>
                <w:szCs w:val="24"/>
                <w:highlight w:val="none"/>
                <w:u w:val="none"/>
                <w:lang w:val="en-US" w:eastAsia="zh-CN" w:bidi="ar"/>
              </w:rPr>
              <w:br w:type="textWrapping"/>
            </w:r>
            <w:r>
              <w:rPr>
                <w:rFonts w:hint="default" w:ascii="Times New Roman" w:hAnsi="Times New Roman" w:eastAsia="楷体_GB2312" w:cs="Times New Roman"/>
                <w:i w:val="0"/>
                <w:iCs w:val="0"/>
                <w:color w:val="auto"/>
                <w:kern w:val="0"/>
                <w:sz w:val="24"/>
                <w:szCs w:val="24"/>
                <w:highlight w:val="none"/>
                <w:u w:val="none"/>
                <w:lang w:val="en-US" w:eastAsia="zh-CN" w:bidi="ar"/>
              </w:rPr>
              <w:t>实施企业精准培育工程</w:t>
            </w: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DB32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2"/>
                <w:sz w:val="24"/>
                <w:szCs w:val="24"/>
                <w:highlight w:val="none"/>
                <w:u w:val="none"/>
                <w:lang w:val="en-US" w:eastAsia="zh-CN" w:bidi="ar-SA"/>
              </w:rPr>
              <w:t>聚焦人工智能细分赛道，动态调整产业招商图谱，建立人工智能重大项目库，全年招引人工智能领域项目不少于20个。</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6566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区商务局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5B24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sz w:val="24"/>
                <w:szCs w:val="24"/>
                <w:highlight w:val="none"/>
                <w:u w:val="none"/>
                <w:lang w:eastAsia="zh-CN"/>
              </w:rPr>
              <w:t>区经信局，各平台、镇街</w:t>
            </w:r>
          </w:p>
        </w:tc>
      </w:tr>
      <w:tr w14:paraId="6557D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AD14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17</w:t>
            </w:r>
          </w:p>
        </w:tc>
        <w:tc>
          <w:tcPr>
            <w:tcW w:w="1796" w:type="dxa"/>
            <w:vMerge w:val="continue"/>
            <w:tcBorders>
              <w:left w:val="single" w:color="000000" w:sz="4" w:space="0"/>
              <w:right w:val="single" w:color="000000" w:sz="4" w:space="0"/>
            </w:tcBorders>
            <w:shd w:val="clear" w:color="auto" w:fill="auto"/>
            <w:vAlign w:val="center"/>
          </w:tcPr>
          <w:p w14:paraId="120E36B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79BB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2"/>
                <w:sz w:val="24"/>
                <w:szCs w:val="24"/>
                <w:highlight w:val="none"/>
                <w:u w:val="none"/>
                <w:lang w:val="en-US" w:eastAsia="zh-CN" w:bidi="ar-SA"/>
              </w:rPr>
              <w:t>强化关键要素保障，推进暖芯迦视觉脑机接口产业化项目、南湖</w:t>
            </w:r>
            <w:r>
              <w:rPr>
                <w:rFonts w:hint="default" w:ascii="Times New Roman" w:hAnsi="Times New Roman" w:cs="Times New Roman"/>
                <w:i w:val="0"/>
                <w:iCs w:val="0"/>
                <w:color w:val="auto"/>
                <w:kern w:val="2"/>
                <w:sz w:val="24"/>
                <w:szCs w:val="24"/>
                <w:highlight w:val="none"/>
                <w:u w:val="none"/>
                <w:lang w:val="en-US" w:eastAsia="zh-CN" w:bidi="ar-SA"/>
              </w:rPr>
              <w:t>科技</w:t>
            </w:r>
            <w:r>
              <w:rPr>
                <w:rFonts w:hint="default" w:ascii="Times New Roman" w:hAnsi="Times New Roman" w:eastAsia="仿宋_GB2312" w:cs="Times New Roman"/>
                <w:i w:val="0"/>
                <w:iCs w:val="0"/>
                <w:color w:val="auto"/>
                <w:kern w:val="2"/>
                <w:sz w:val="24"/>
                <w:szCs w:val="24"/>
                <w:highlight w:val="none"/>
                <w:u w:val="none"/>
                <w:lang w:val="en-US" w:eastAsia="zh-CN" w:bidi="ar-SA"/>
              </w:rPr>
              <w:t>成果转化项目等重</w:t>
            </w:r>
            <w:r>
              <w:rPr>
                <w:rFonts w:hint="eastAsia" w:cs="Times New Roman"/>
                <w:i w:val="0"/>
                <w:iCs w:val="0"/>
                <w:color w:val="auto"/>
                <w:kern w:val="2"/>
                <w:sz w:val="24"/>
                <w:szCs w:val="24"/>
                <w:highlight w:val="none"/>
                <w:u w:val="none"/>
                <w:lang w:val="en-US" w:eastAsia="zh-CN" w:bidi="ar-SA"/>
              </w:rPr>
              <w:t>点</w:t>
            </w:r>
            <w:r>
              <w:rPr>
                <w:rFonts w:hint="default" w:ascii="Times New Roman" w:hAnsi="Times New Roman" w:eastAsia="仿宋_GB2312" w:cs="Times New Roman"/>
                <w:i w:val="0"/>
                <w:iCs w:val="0"/>
                <w:color w:val="auto"/>
                <w:kern w:val="2"/>
                <w:sz w:val="24"/>
                <w:szCs w:val="24"/>
                <w:highlight w:val="none"/>
                <w:u w:val="none"/>
                <w:lang w:val="en-US" w:eastAsia="zh-CN" w:bidi="ar-SA"/>
              </w:rPr>
              <w:t>项目建设。</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5206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center"/>
              <w:rPr>
                <w:rFonts w:hint="eastAsia" w:cs="Times New Roman"/>
                <w:i w:val="0"/>
                <w:iCs w:val="0"/>
                <w:color w:val="auto"/>
                <w:kern w:val="0"/>
                <w:sz w:val="24"/>
                <w:szCs w:val="24"/>
                <w:highlight w:val="none"/>
                <w:u w:val="none"/>
                <w:lang w:eastAsia="zh-CN" w:bidi="ar"/>
              </w:rPr>
            </w:pPr>
            <w:r>
              <w:rPr>
                <w:rFonts w:hint="default" w:ascii="Times New Roman" w:hAnsi="Times New Roman" w:cs="Times New Roman"/>
                <w:i w:val="0"/>
                <w:iCs w:val="0"/>
                <w:color w:val="auto"/>
                <w:kern w:val="0"/>
                <w:sz w:val="24"/>
                <w:szCs w:val="24"/>
                <w:highlight w:val="none"/>
                <w:u w:val="none"/>
                <w:lang w:eastAsia="zh-CN" w:bidi="ar"/>
              </w:rPr>
              <w:t>区经信局</w:t>
            </w:r>
            <w:r>
              <w:rPr>
                <w:rFonts w:hint="eastAsia" w:cs="Times New Roman"/>
                <w:i w:val="0"/>
                <w:iCs w:val="0"/>
                <w:color w:val="auto"/>
                <w:kern w:val="0"/>
                <w:sz w:val="24"/>
                <w:szCs w:val="24"/>
                <w:highlight w:val="none"/>
                <w:u w:val="none"/>
                <w:lang w:eastAsia="zh-CN" w:bidi="ar"/>
              </w:rPr>
              <w:t>、</w:t>
            </w:r>
          </w:p>
          <w:p w14:paraId="601474F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center"/>
              <w:rPr>
                <w:rFonts w:hint="default" w:ascii="Times New Roman" w:hAnsi="Times New Roman" w:eastAsia="仿宋_GB2312" w:cs="Times New Roman"/>
                <w:color w:val="auto"/>
                <w:kern w:val="2"/>
                <w:sz w:val="32"/>
                <w:szCs w:val="22"/>
                <w:highlight w:val="none"/>
                <w:lang w:val="en-US" w:eastAsia="zh-CN" w:bidi="ar-SA"/>
              </w:rPr>
            </w:pPr>
            <w:r>
              <w:rPr>
                <w:rFonts w:hint="default" w:ascii="Times New Roman" w:hAnsi="Times New Roman" w:cs="Times New Roman"/>
                <w:i w:val="0"/>
                <w:iCs w:val="0"/>
                <w:color w:val="auto"/>
                <w:kern w:val="0"/>
                <w:sz w:val="24"/>
                <w:szCs w:val="24"/>
                <w:highlight w:val="none"/>
                <w:u w:val="none"/>
                <w:lang w:val="en-US" w:eastAsia="zh-CN" w:bidi="ar"/>
              </w:rPr>
              <w:t>区城投集团</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4F1CA">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center"/>
              <w:rPr>
                <w:rFonts w:hint="default" w:ascii="Times New Roman" w:hAnsi="Times New Roman" w:cs="Times New Roman"/>
                <w:i w:val="0"/>
                <w:iCs w:val="0"/>
                <w:color w:val="auto"/>
                <w:kern w:val="0"/>
                <w:sz w:val="24"/>
                <w:szCs w:val="24"/>
                <w:highlight w:val="none"/>
                <w:u w:val="none"/>
                <w:lang w:eastAsia="zh-CN" w:bidi="ar"/>
              </w:rPr>
            </w:pPr>
            <w:r>
              <w:rPr>
                <w:rFonts w:hint="default" w:ascii="Times New Roman" w:hAnsi="Times New Roman" w:cs="Times New Roman"/>
                <w:i w:val="0"/>
                <w:iCs w:val="0"/>
                <w:color w:val="auto"/>
                <w:kern w:val="0"/>
                <w:sz w:val="24"/>
                <w:szCs w:val="24"/>
                <w:highlight w:val="none"/>
                <w:u w:val="none"/>
                <w:lang w:eastAsia="zh-CN" w:bidi="ar"/>
              </w:rPr>
              <w:t>区发改局、</w:t>
            </w:r>
          </w:p>
          <w:p w14:paraId="65E5FB55">
            <w:pPr>
              <w:keepNext w:val="0"/>
              <w:keepLines w:val="0"/>
              <w:widowControl/>
              <w:suppressLineNumbers w:val="0"/>
              <w:shd w:val="clear"/>
              <w:spacing w:before="0" w:beforeAutospacing="0" w:after="0" w:afterAutospacing="0" w:line="320" w:lineRule="exact"/>
              <w:ind w:left="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区科技局</w:t>
            </w:r>
            <w:r>
              <w:rPr>
                <w:rFonts w:hint="default" w:ascii="Times New Roman" w:hAnsi="Times New Roman" w:cs="Times New Roman"/>
                <w:i w:val="0"/>
                <w:iCs w:val="0"/>
                <w:color w:val="auto"/>
                <w:kern w:val="0"/>
                <w:sz w:val="24"/>
                <w:szCs w:val="24"/>
                <w:highlight w:val="none"/>
                <w:u w:val="none"/>
                <w:lang w:val="en-US" w:eastAsia="zh-CN" w:bidi="ar"/>
              </w:rPr>
              <w:t>、</w:t>
            </w:r>
          </w:p>
          <w:p w14:paraId="553321B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textAlignment w:val="center"/>
              <w:rPr>
                <w:rFonts w:hint="default" w:ascii="Times New Roman" w:hAnsi="Times New Roman" w:cs="Times New Roman"/>
                <w:i w:val="0"/>
                <w:iCs w:val="0"/>
                <w:color w:val="auto"/>
                <w:kern w:val="0"/>
                <w:sz w:val="24"/>
                <w:szCs w:val="24"/>
                <w:highlight w:val="none"/>
                <w:u w:val="none"/>
                <w:lang w:eastAsia="zh-CN" w:bidi="ar"/>
              </w:rPr>
            </w:pPr>
            <w:r>
              <w:rPr>
                <w:rFonts w:hint="default" w:ascii="Times New Roman" w:hAnsi="Times New Roman" w:cs="Times New Roman"/>
                <w:i w:val="0"/>
                <w:iCs w:val="0"/>
                <w:color w:val="auto"/>
                <w:kern w:val="0"/>
                <w:sz w:val="24"/>
                <w:szCs w:val="24"/>
                <w:highlight w:val="none"/>
                <w:u w:val="none"/>
                <w:lang w:eastAsia="zh-CN" w:bidi="ar"/>
              </w:rPr>
              <w:t>区财政局、</w:t>
            </w:r>
          </w:p>
          <w:p w14:paraId="6E493438">
            <w:pPr>
              <w:keepNext w:val="0"/>
              <w:keepLines w:val="0"/>
              <w:widowControl/>
              <w:suppressLineNumbers w:val="0"/>
              <w:shd w:val="clear"/>
              <w:spacing w:before="0" w:beforeAutospacing="0" w:after="0" w:afterAutospacing="0" w:line="320" w:lineRule="exact"/>
              <w:ind w:left="0" w:right="0" w:firstLine="0" w:firstLineChars="0"/>
              <w:jc w:val="both"/>
              <w:textAlignment w:val="center"/>
              <w:rPr>
                <w:rFonts w:hint="default" w:ascii="Times New Roman" w:hAnsi="Times New Roman" w:eastAsia="仿宋_GB2312" w:cs="Times New Roman"/>
                <w:color w:val="auto"/>
                <w:kern w:val="2"/>
                <w:sz w:val="32"/>
                <w:szCs w:val="22"/>
                <w:highlight w:val="none"/>
                <w:lang w:val="en-US" w:eastAsia="zh-CN" w:bidi="ar-SA"/>
              </w:rPr>
            </w:pPr>
            <w:r>
              <w:rPr>
                <w:rFonts w:hint="default" w:ascii="Times New Roman" w:hAnsi="Times New Roman" w:cs="Times New Roman"/>
                <w:color w:val="auto"/>
                <w:kern w:val="0"/>
                <w:sz w:val="24"/>
                <w:szCs w:val="24"/>
                <w:highlight w:val="none"/>
                <w:u w:val="none"/>
                <w:lang w:eastAsia="zh-CN" w:bidi="ar"/>
              </w:rPr>
              <w:t>市规划资源局余杭分局</w:t>
            </w:r>
          </w:p>
        </w:tc>
      </w:tr>
      <w:tr w14:paraId="33C6C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A95EB">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18</w:t>
            </w:r>
          </w:p>
        </w:tc>
        <w:tc>
          <w:tcPr>
            <w:tcW w:w="1796" w:type="dxa"/>
            <w:vMerge w:val="continue"/>
            <w:tcBorders>
              <w:left w:val="single" w:color="000000" w:sz="4" w:space="0"/>
              <w:right w:val="single" w:color="000000" w:sz="4" w:space="0"/>
            </w:tcBorders>
            <w:shd w:val="clear" w:color="auto" w:fill="auto"/>
            <w:vAlign w:val="center"/>
          </w:tcPr>
          <w:p w14:paraId="6EEC28E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DED1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2"/>
                <w:sz w:val="24"/>
                <w:szCs w:val="24"/>
                <w:highlight w:val="none"/>
                <w:u w:val="none"/>
                <w:lang w:val="en-US" w:eastAsia="zh-CN" w:bidi="ar-SA"/>
              </w:rPr>
              <w:t>构建分层分类企业培育体系，建立“一企一档”数据库，针对龙头企业，实行“一企一策”靶向扶持。</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C0D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2BA1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both"/>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sz w:val="24"/>
                <w:szCs w:val="24"/>
                <w:highlight w:val="none"/>
                <w:u w:val="none"/>
              </w:rPr>
              <w:t>区财政局</w:t>
            </w:r>
          </w:p>
        </w:tc>
      </w:tr>
      <w:tr w14:paraId="5FE98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1C8A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19</w:t>
            </w:r>
          </w:p>
        </w:tc>
        <w:tc>
          <w:tcPr>
            <w:tcW w:w="1796" w:type="dxa"/>
            <w:vMerge w:val="continue"/>
            <w:tcBorders>
              <w:left w:val="single" w:color="000000" w:sz="4" w:space="0"/>
              <w:right w:val="single" w:color="000000" w:sz="4" w:space="0"/>
            </w:tcBorders>
            <w:shd w:val="clear" w:color="auto" w:fill="auto"/>
            <w:vAlign w:val="center"/>
          </w:tcPr>
          <w:p w14:paraId="308893A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032E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2"/>
                <w:sz w:val="24"/>
                <w:szCs w:val="24"/>
                <w:highlight w:val="none"/>
                <w:u w:val="none"/>
                <w:lang w:val="en-US" w:eastAsia="zh-CN" w:bidi="ar-SA"/>
              </w:rPr>
              <w:t>对高成长的“专精特新”企业及潜力中小微企业，制定分类指导方案，提供全生命周期服务。</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3CE0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cs="Times New Roman"/>
                <w:i w:val="0"/>
                <w:iCs w:val="0"/>
                <w:color w:val="auto"/>
                <w:kern w:val="0"/>
                <w:sz w:val="24"/>
                <w:szCs w:val="24"/>
                <w:highlight w:val="none"/>
                <w:u w:val="none"/>
                <w:lang w:val="en-US" w:eastAsia="zh-CN" w:bidi="ar"/>
              </w:rPr>
            </w:pPr>
            <w:r>
              <w:rPr>
                <w:rFonts w:hint="default" w:ascii="Times New Roman" w:hAnsi="Times New Roman"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86B8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24FDA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EC91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2"/>
                <w:sz w:val="24"/>
                <w:szCs w:val="24"/>
                <w:highlight w:val="none"/>
                <w:u w:val="none"/>
                <w:lang w:val="en-US" w:eastAsia="zh-CN" w:bidi="ar-SA"/>
              </w:rPr>
              <w:t>20</w:t>
            </w:r>
          </w:p>
        </w:tc>
        <w:tc>
          <w:tcPr>
            <w:tcW w:w="17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3CA60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sz w:val="24"/>
                <w:szCs w:val="24"/>
                <w:highlight w:val="none"/>
                <w:u w:val="none"/>
              </w:rPr>
            </w:pPr>
            <w:r>
              <w:rPr>
                <w:rFonts w:hint="default" w:ascii="Times New Roman" w:hAnsi="Times New Roman" w:eastAsia="楷体_GB2312" w:cs="Times New Roman"/>
                <w:i w:val="0"/>
                <w:iCs w:val="0"/>
                <w:color w:val="auto"/>
                <w:kern w:val="0"/>
                <w:sz w:val="24"/>
                <w:szCs w:val="24"/>
                <w:highlight w:val="none"/>
                <w:u w:val="none"/>
                <w:lang w:val="en-US" w:eastAsia="zh-CN" w:bidi="ar"/>
              </w:rPr>
              <w:t>聚力“强应用”</w:t>
            </w:r>
            <w:r>
              <w:rPr>
                <w:rFonts w:hint="default" w:ascii="Times New Roman" w:hAnsi="Times New Roman" w:eastAsia="楷体_GB2312" w:cs="Times New Roman"/>
                <w:i w:val="0"/>
                <w:iCs w:val="0"/>
                <w:color w:val="auto"/>
                <w:kern w:val="0"/>
                <w:sz w:val="24"/>
                <w:szCs w:val="24"/>
                <w:highlight w:val="none"/>
                <w:u w:val="none"/>
                <w:lang w:val="en-US" w:eastAsia="zh-CN" w:bidi="ar"/>
              </w:rPr>
              <w:br w:type="textWrapping"/>
            </w:r>
            <w:r>
              <w:rPr>
                <w:rFonts w:hint="default" w:ascii="Times New Roman" w:hAnsi="Times New Roman" w:eastAsia="楷体_GB2312" w:cs="Times New Roman"/>
                <w:i w:val="0"/>
                <w:iCs w:val="0"/>
                <w:color w:val="auto"/>
                <w:kern w:val="0"/>
                <w:sz w:val="24"/>
                <w:szCs w:val="24"/>
                <w:highlight w:val="none"/>
                <w:u w:val="none"/>
                <w:lang w:val="en-US" w:eastAsia="zh-CN" w:bidi="ar"/>
              </w:rPr>
              <w:t>实施场景赋能工程</w:t>
            </w: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B789A">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sz w:val="24"/>
                <w:szCs w:val="24"/>
                <w:highlight w:val="none"/>
                <w:u w:val="none"/>
              </w:rPr>
              <w:t>加强与杭转中心合作，依托之江实验室、良渚实验室、天目山实验室等科研平台和重点企业，聚焦脑机融合、低空智飞、无人机智造等领域，加快各级概念验证中心、中试基地布局和建设，健全“验证—孵化—小试—中试—产业化”科技成果转化链条，逐步完善人工智能领域概念验证、科技成果熟化等服务能力，推动公共服务平台对外开展人工智能领域服务不少于20项（次）。</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9FD0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区科技局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9714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2FA767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68AF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2"/>
                <w:sz w:val="24"/>
                <w:szCs w:val="24"/>
                <w:highlight w:val="none"/>
                <w:u w:val="none"/>
                <w:lang w:val="en-US" w:eastAsia="zh-CN" w:bidi="ar-SA"/>
              </w:rPr>
              <w:t>21</w:t>
            </w:r>
          </w:p>
        </w:tc>
        <w:tc>
          <w:tcPr>
            <w:tcW w:w="1796" w:type="dxa"/>
            <w:vMerge w:val="continue"/>
            <w:tcBorders>
              <w:left w:val="single" w:color="000000" w:sz="4" w:space="0"/>
              <w:right w:val="single" w:color="000000" w:sz="4" w:space="0"/>
            </w:tcBorders>
            <w:shd w:val="clear" w:color="auto" w:fill="auto"/>
            <w:vAlign w:val="center"/>
          </w:tcPr>
          <w:p w14:paraId="494E81E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kern w:val="0"/>
                <w:sz w:val="24"/>
                <w:szCs w:val="24"/>
                <w:highlight w:val="none"/>
                <w:u w:val="none"/>
                <w:lang w:val="en-US" w:eastAsia="zh-CN" w:bidi="ar"/>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B7B3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lang w:eastAsia="zh-CN"/>
              </w:rPr>
            </w:pPr>
            <w:r>
              <w:rPr>
                <w:rFonts w:hint="default" w:ascii="Times New Roman" w:hAnsi="Times New Roman" w:eastAsia="仿宋_GB2312" w:cs="Times New Roman"/>
                <w:i w:val="0"/>
                <w:iCs w:val="0"/>
                <w:color w:val="auto"/>
                <w:sz w:val="24"/>
                <w:szCs w:val="24"/>
                <w:highlight w:val="none"/>
                <w:u w:val="none"/>
              </w:rPr>
              <w:t>推进中国人工智能学会科创中心（杭州站）、涿溪实验室科技成果转化项目等建设</w:t>
            </w:r>
            <w:r>
              <w:rPr>
                <w:rFonts w:hint="default" w:ascii="Times New Roman" w:hAnsi="Times New Roman" w:cs="Times New Roman"/>
                <w:i w:val="0"/>
                <w:iCs w:val="0"/>
                <w:color w:val="auto"/>
                <w:sz w:val="24"/>
                <w:szCs w:val="24"/>
                <w:highlight w:val="none"/>
                <w:u w:val="none"/>
                <w:lang w:eastAsia="zh-CN"/>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5A3E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cs="Times New Roman"/>
                <w:i w:val="0"/>
                <w:iCs w:val="0"/>
                <w:color w:val="auto"/>
                <w:kern w:val="0"/>
                <w:sz w:val="24"/>
                <w:szCs w:val="24"/>
                <w:highlight w:val="none"/>
                <w:u w:val="none"/>
                <w:lang w:val="en-US" w:eastAsia="zh-CN" w:bidi="ar"/>
              </w:rPr>
              <w:t>未来科技城</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D524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03F0A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7B35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22</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FFA04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FD89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人工智能</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政务</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领域，依托</w:t>
            </w:r>
            <w:r>
              <w:rPr>
                <w:rStyle w:val="34"/>
                <w:rFonts w:hint="default" w:ascii="Times New Roman" w:hAnsi="Times New Roman" w:eastAsia="宋体" w:cs="Times New Roman"/>
                <w:color w:val="auto"/>
                <w:highlight w:val="none"/>
                <w:lang w:val="en-US" w:eastAsia="zh-CN" w:bidi="ar"/>
              </w:rPr>
              <w:t>AI</w:t>
            </w:r>
            <w:r>
              <w:rPr>
                <w:rFonts w:hint="default" w:ascii="Times New Roman" w:hAnsi="Times New Roman" w:eastAsia="仿宋_GB2312" w:cs="Times New Roman"/>
                <w:i w:val="0"/>
                <w:iCs w:val="0"/>
                <w:color w:val="auto"/>
                <w:kern w:val="0"/>
                <w:sz w:val="24"/>
                <w:szCs w:val="24"/>
                <w:highlight w:val="none"/>
                <w:u w:val="none"/>
                <w:lang w:val="en-US" w:eastAsia="zh-CN" w:bidi="ar"/>
              </w:rPr>
              <w:t>余杭项目，打造</w:t>
            </w:r>
            <w:r>
              <w:rPr>
                <w:rStyle w:val="34"/>
                <w:rFonts w:hint="default" w:ascii="Times New Roman" w:hAnsi="Times New Roman" w:eastAsia="宋体" w:cs="Times New Roman"/>
                <w:color w:val="auto"/>
                <w:highlight w:val="none"/>
                <w:lang w:val="en-US" w:eastAsia="zh-CN" w:bidi="ar"/>
              </w:rPr>
              <w:t>AI</w:t>
            </w:r>
            <w:r>
              <w:rPr>
                <w:rFonts w:hint="default" w:ascii="Times New Roman" w:hAnsi="Times New Roman" w:eastAsia="仿宋_GB2312" w:cs="Times New Roman"/>
                <w:i w:val="0"/>
                <w:iCs w:val="0"/>
                <w:color w:val="auto"/>
                <w:kern w:val="0"/>
                <w:sz w:val="24"/>
                <w:szCs w:val="24"/>
                <w:highlight w:val="none"/>
                <w:u w:val="none"/>
                <w:lang w:val="en-US" w:eastAsia="zh-CN" w:bidi="ar"/>
              </w:rPr>
              <w:t>数据处理平台、智能体搭建平台，探索大模型赋能办公效能提升。</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A62F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区数管局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6877B">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04604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4F71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23</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0CBFC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C8C8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人工智能</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医疗服务</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领域，推广应用</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数字健康人</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安诊儿</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，探索</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慢病医生助手</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等服务模式，依托</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余杭区健康大脑</w:t>
            </w:r>
            <w:r>
              <w:rPr>
                <w:rStyle w:val="34"/>
                <w:rFonts w:hint="default" w:ascii="Times New Roman" w:hAnsi="Times New Roman" w:eastAsia="宋体" w:cs="Times New Roman"/>
                <w:color w:val="auto"/>
                <w:highlight w:val="none"/>
                <w:lang w:val="en-US" w:eastAsia="zh-CN" w:bidi="ar"/>
              </w:rPr>
              <w:t>2.0”</w:t>
            </w:r>
            <w:r>
              <w:rPr>
                <w:rFonts w:hint="default" w:ascii="Times New Roman" w:hAnsi="Times New Roman" w:eastAsia="仿宋_GB2312" w:cs="Times New Roman"/>
                <w:i w:val="0"/>
                <w:iCs w:val="0"/>
                <w:color w:val="auto"/>
                <w:kern w:val="0"/>
                <w:sz w:val="24"/>
                <w:szCs w:val="24"/>
                <w:highlight w:val="none"/>
                <w:u w:val="none"/>
                <w:lang w:val="en-US" w:eastAsia="zh-CN" w:bidi="ar"/>
              </w:rPr>
              <w:t>平台</w:t>
            </w:r>
            <w:r>
              <w:rPr>
                <w:rFonts w:hint="default" w:ascii="Times New Roman" w:hAnsi="Times New Roman" w:cs="Times New Roman"/>
                <w:i w:val="0"/>
                <w:iCs w:val="0"/>
                <w:color w:val="auto"/>
                <w:kern w:val="0"/>
                <w:sz w:val="24"/>
                <w:szCs w:val="24"/>
                <w:highlight w:val="none"/>
                <w:u w:val="none"/>
                <w:lang w:val="en-US" w:eastAsia="zh-CN" w:bidi="ar"/>
              </w:rPr>
              <w:t>迭代升级</w:t>
            </w:r>
            <w:r>
              <w:rPr>
                <w:rFonts w:hint="default" w:ascii="Times New Roman" w:hAnsi="Times New Roman" w:eastAsia="仿宋_GB2312" w:cs="Times New Roman"/>
                <w:i w:val="0"/>
                <w:iCs w:val="0"/>
                <w:color w:val="auto"/>
                <w:kern w:val="0"/>
                <w:sz w:val="24"/>
                <w:szCs w:val="24"/>
                <w:highlight w:val="none"/>
                <w:u w:val="none"/>
                <w:lang w:val="en-US" w:eastAsia="zh-CN" w:bidi="ar"/>
              </w:rPr>
              <w:t>智慧医疗、智慧公卫、数智管理等场景。</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2D4C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区</w:t>
            </w:r>
            <w:r>
              <w:rPr>
                <w:rFonts w:hint="default" w:ascii="Times New Roman" w:hAnsi="Times New Roman" w:cs="Times New Roman"/>
                <w:i w:val="0"/>
                <w:iCs w:val="0"/>
                <w:color w:val="auto"/>
                <w:kern w:val="0"/>
                <w:sz w:val="24"/>
                <w:szCs w:val="24"/>
                <w:highlight w:val="none"/>
                <w:u w:val="none"/>
                <w:lang w:val="en-US" w:eastAsia="zh-CN" w:bidi="ar"/>
              </w:rPr>
              <w:t>卫生健康</w:t>
            </w:r>
            <w:r>
              <w:rPr>
                <w:rFonts w:hint="default" w:ascii="Times New Roman" w:hAnsi="Times New Roman" w:eastAsia="仿宋_GB2312" w:cs="Times New Roman"/>
                <w:i w:val="0"/>
                <w:iCs w:val="0"/>
                <w:color w:val="auto"/>
                <w:kern w:val="0"/>
                <w:sz w:val="24"/>
                <w:szCs w:val="24"/>
                <w:highlight w:val="none"/>
                <w:u w:val="none"/>
                <w:lang w:val="en-US" w:eastAsia="zh-CN" w:bidi="ar"/>
              </w:rPr>
              <w:t>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0B3D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color w:val="auto"/>
                <w:szCs w:val="20"/>
                <w:highlight w:val="none"/>
                <w:lang w:val="en-US" w:eastAsia="zh-CN"/>
              </w:rPr>
            </w:pPr>
            <w:r>
              <w:rPr>
                <w:rFonts w:hint="default" w:ascii="Times New Roman" w:hAnsi="Times New Roman" w:cs="Times New Roman"/>
                <w:color w:val="auto"/>
                <w:szCs w:val="20"/>
                <w:highlight w:val="none"/>
                <w:lang w:val="en-US" w:eastAsia="zh-CN"/>
              </w:rPr>
              <w:t>/</w:t>
            </w:r>
          </w:p>
        </w:tc>
      </w:tr>
      <w:tr w14:paraId="3CF96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9EA7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24</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16549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535BB">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宋体" w:cs="Times New Roman"/>
                <w:i w:val="0"/>
                <w:iCs w:val="0"/>
                <w:color w:val="auto"/>
                <w:kern w:val="0"/>
                <w:sz w:val="24"/>
                <w:szCs w:val="24"/>
                <w:highlight w:val="none"/>
                <w:u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人工智能</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文旅</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领域，推动</w:t>
            </w:r>
            <w:r>
              <w:rPr>
                <w:rStyle w:val="34"/>
                <w:rFonts w:hint="default" w:ascii="Times New Roman" w:hAnsi="Times New Roman" w:eastAsia="宋体" w:cs="Times New Roman"/>
                <w:color w:val="auto"/>
                <w:highlight w:val="none"/>
                <w:lang w:val="en-US" w:eastAsia="zh-CN" w:bidi="ar"/>
              </w:rPr>
              <w:t>3D</w:t>
            </w:r>
            <w:r>
              <w:rPr>
                <w:rFonts w:hint="default" w:ascii="Times New Roman" w:hAnsi="Times New Roman" w:eastAsia="仿宋_GB2312" w:cs="Times New Roman"/>
                <w:i w:val="0"/>
                <w:iCs w:val="0"/>
                <w:color w:val="auto"/>
                <w:kern w:val="0"/>
                <w:sz w:val="24"/>
                <w:szCs w:val="24"/>
                <w:highlight w:val="none"/>
                <w:u w:val="none"/>
                <w:lang w:val="en-US" w:eastAsia="zh-CN" w:bidi="ar"/>
              </w:rPr>
              <w:t>数字人交互系统、</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低空巴士</w:t>
            </w:r>
            <w:r>
              <w:rPr>
                <w:rStyle w:val="34"/>
                <w:rFonts w:hint="default" w:ascii="Times New Roman" w:hAnsi="Times New Roman" w:eastAsia="宋体" w:cs="Times New Roman"/>
                <w:color w:val="auto"/>
                <w:highlight w:val="none"/>
                <w:lang w:val="en-US" w:eastAsia="zh-CN" w:bidi="ar"/>
              </w:rPr>
              <w:t>”</w:t>
            </w:r>
            <w:r>
              <w:rPr>
                <w:rFonts w:hint="default" w:ascii="Times New Roman" w:hAnsi="Times New Roman" w:eastAsia="仿宋_GB2312" w:cs="Times New Roman"/>
                <w:i w:val="0"/>
                <w:iCs w:val="0"/>
                <w:color w:val="auto"/>
                <w:kern w:val="0"/>
                <w:sz w:val="24"/>
                <w:szCs w:val="24"/>
                <w:highlight w:val="none"/>
                <w:u w:val="none"/>
                <w:lang w:val="en-US" w:eastAsia="zh-CN" w:bidi="ar"/>
              </w:rPr>
              <w:t>航线、章太炎故居</w:t>
            </w:r>
            <w:r>
              <w:rPr>
                <w:rStyle w:val="34"/>
                <w:rFonts w:hint="default" w:ascii="Times New Roman" w:hAnsi="Times New Roman" w:eastAsia="宋体" w:cs="Times New Roman"/>
                <w:color w:val="auto"/>
                <w:highlight w:val="none"/>
                <w:lang w:val="en-US" w:eastAsia="zh-CN" w:bidi="ar"/>
              </w:rPr>
              <w:t>AI+AR</w:t>
            </w:r>
            <w:r>
              <w:rPr>
                <w:rFonts w:hint="default" w:ascii="Times New Roman" w:hAnsi="Times New Roman" w:eastAsia="仿宋_GB2312" w:cs="Times New Roman"/>
                <w:i w:val="0"/>
                <w:iCs w:val="0"/>
                <w:color w:val="auto"/>
                <w:kern w:val="0"/>
                <w:sz w:val="24"/>
                <w:szCs w:val="24"/>
                <w:highlight w:val="none"/>
                <w:u w:val="none"/>
                <w:lang w:val="en-US" w:eastAsia="zh-CN" w:bidi="ar"/>
              </w:rPr>
              <w:t>导览系统、全智能化健身房等场景建设。</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5F07B">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区文广旅体局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79B4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sz w:val="24"/>
                <w:szCs w:val="24"/>
                <w:highlight w:val="none"/>
                <w:u w:val="none"/>
              </w:rPr>
              <w:t>区数管局、区交通运输局</w:t>
            </w:r>
          </w:p>
        </w:tc>
      </w:tr>
      <w:tr w14:paraId="1C467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11"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9813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25</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EB39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BCF9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b w:val="0"/>
                <w:bCs/>
                <w:color w:val="auto"/>
                <w:kern w:val="0"/>
                <w:sz w:val="24"/>
                <w:szCs w:val="20"/>
                <w:highlight w:val="none"/>
                <w:lang w:val="en-US" w:eastAsia="zh-CN" w:bidi="ar"/>
              </w:rPr>
              <w:t>争创省人工智能助力教育教学改革试点区，探索人工智能赋能教育全场景应用。</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4E44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Style w:val="34"/>
                <w:rFonts w:hint="default" w:ascii="Times New Roman" w:hAnsi="Times New Roman" w:eastAsia="仿宋_GB2312" w:cs="Times New Roman"/>
                <w:color w:val="auto"/>
                <w:highlight w:val="none"/>
              </w:rPr>
              <w:t>区教育局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C6093">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46CBF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D4BE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26</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B3E8F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25C1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b w:val="0"/>
                <w:bCs/>
                <w:color w:val="auto"/>
                <w:kern w:val="0"/>
                <w:sz w:val="24"/>
                <w:szCs w:val="20"/>
                <w:highlight w:val="none"/>
                <w:lang w:val="en-US" w:eastAsia="zh-CN" w:bidi="ar"/>
              </w:rPr>
              <w:t>强化人工智能应用场景供需对接</w:t>
            </w:r>
            <w:r>
              <w:rPr>
                <w:rFonts w:hint="default" w:ascii="Times New Roman" w:hAnsi="Times New Roman" w:cs="Times New Roman"/>
                <w:b w:val="0"/>
                <w:bCs/>
                <w:color w:val="auto"/>
                <w:kern w:val="0"/>
                <w:sz w:val="24"/>
                <w:szCs w:val="20"/>
                <w:highlight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E4C1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区发改局</w:t>
            </w:r>
            <w:r>
              <w:rPr>
                <w:rFonts w:hint="default" w:ascii="Times New Roman" w:hAnsi="Times New Roman" w:cs="Times New Roman"/>
                <w:i w:val="0"/>
                <w:iCs w:val="0"/>
                <w:color w:val="auto"/>
                <w:kern w:val="0"/>
                <w:sz w:val="24"/>
                <w:szCs w:val="24"/>
                <w:highlight w:val="none"/>
                <w:u w:val="none"/>
                <w:lang w:val="en-US" w:eastAsia="zh-CN" w:bidi="ar"/>
              </w:rPr>
              <w:t>、</w:t>
            </w:r>
          </w:p>
          <w:p w14:paraId="440C8AD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FECD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bidi="ar"/>
              </w:rPr>
              <w:t>区交通运输局、区数管局、区卫</w:t>
            </w:r>
            <w:r>
              <w:rPr>
                <w:rFonts w:hint="default" w:ascii="Times New Roman" w:hAnsi="Times New Roman" w:cs="Times New Roman"/>
                <w:i w:val="0"/>
                <w:iCs w:val="0"/>
                <w:color w:val="auto"/>
                <w:kern w:val="0"/>
                <w:sz w:val="24"/>
                <w:szCs w:val="24"/>
                <w:highlight w:val="none"/>
                <w:u w:val="none"/>
                <w:lang w:eastAsia="zh-CN" w:bidi="ar"/>
              </w:rPr>
              <w:t>生</w:t>
            </w:r>
            <w:r>
              <w:rPr>
                <w:rFonts w:hint="default" w:ascii="Times New Roman" w:hAnsi="Times New Roman" w:eastAsia="仿宋_GB2312" w:cs="Times New Roman"/>
                <w:i w:val="0"/>
                <w:iCs w:val="0"/>
                <w:color w:val="auto"/>
                <w:kern w:val="0"/>
                <w:sz w:val="24"/>
                <w:szCs w:val="24"/>
                <w:highlight w:val="none"/>
                <w:u w:val="none"/>
                <w:lang w:bidi="ar"/>
              </w:rPr>
              <w:t>健</w:t>
            </w:r>
            <w:r>
              <w:rPr>
                <w:rFonts w:hint="default" w:ascii="Times New Roman" w:hAnsi="Times New Roman" w:cs="Times New Roman"/>
                <w:i w:val="0"/>
                <w:iCs w:val="0"/>
                <w:color w:val="auto"/>
                <w:kern w:val="0"/>
                <w:sz w:val="24"/>
                <w:szCs w:val="24"/>
                <w:highlight w:val="none"/>
                <w:u w:val="none"/>
                <w:lang w:eastAsia="zh-CN" w:bidi="ar"/>
              </w:rPr>
              <w:t>康</w:t>
            </w:r>
            <w:r>
              <w:rPr>
                <w:rFonts w:hint="default" w:ascii="Times New Roman" w:hAnsi="Times New Roman" w:eastAsia="仿宋_GB2312" w:cs="Times New Roman"/>
                <w:i w:val="0"/>
                <w:iCs w:val="0"/>
                <w:color w:val="auto"/>
                <w:kern w:val="0"/>
                <w:sz w:val="24"/>
                <w:szCs w:val="24"/>
                <w:highlight w:val="none"/>
                <w:u w:val="none"/>
                <w:lang w:bidi="ar"/>
              </w:rPr>
              <w:t>局、区文广旅体局、区财政局、区科技局、区教育局、区国投集团</w:t>
            </w:r>
            <w:r>
              <w:rPr>
                <w:rFonts w:hint="default" w:ascii="Times New Roman" w:hAnsi="Times New Roman" w:cs="Times New Roman"/>
                <w:i w:val="0"/>
                <w:iCs w:val="0"/>
                <w:color w:val="auto"/>
                <w:kern w:val="0"/>
                <w:sz w:val="24"/>
                <w:szCs w:val="24"/>
                <w:highlight w:val="none"/>
                <w:u w:val="none"/>
                <w:lang w:eastAsia="zh-CN" w:bidi="ar"/>
              </w:rPr>
              <w:t>等</w:t>
            </w:r>
          </w:p>
        </w:tc>
      </w:tr>
      <w:tr w14:paraId="65071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95D7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27</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E837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A1A0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b w:val="0"/>
                <w:bCs/>
                <w:color w:val="auto"/>
                <w:kern w:val="0"/>
                <w:sz w:val="24"/>
                <w:szCs w:val="20"/>
                <w:highlight w:val="none"/>
                <w:lang w:val="en-US" w:eastAsia="zh-CN" w:bidi="ar"/>
              </w:rPr>
            </w:pPr>
            <w:r>
              <w:rPr>
                <w:rFonts w:hint="default" w:ascii="Times New Roman" w:hAnsi="Times New Roman" w:eastAsia="仿宋_GB2312" w:cs="Times New Roman"/>
                <w:b w:val="0"/>
                <w:bCs/>
                <w:color w:val="auto"/>
                <w:kern w:val="0"/>
                <w:sz w:val="24"/>
                <w:szCs w:val="20"/>
                <w:highlight w:val="none"/>
                <w:lang w:val="en-US" w:eastAsia="zh-CN" w:bidi="ar"/>
              </w:rPr>
              <w:t>鼓励大模型企业、人工智能服务企业联合生态伙伴加强智能硬件开发，开展5场以上人工智能产业链对接活动。</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07DDA">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eastAsia="zh-CN" w:bidi="ar"/>
              </w:rPr>
            </w:pPr>
            <w:r>
              <w:rPr>
                <w:rFonts w:hint="default" w:ascii="Times New Roman" w:hAnsi="Times New Roman" w:cs="Times New Roman"/>
                <w:i w:val="0"/>
                <w:iCs w:val="0"/>
                <w:color w:val="auto"/>
                <w:kern w:val="0"/>
                <w:sz w:val="24"/>
                <w:szCs w:val="24"/>
                <w:highlight w:val="none"/>
                <w:u w:val="none"/>
                <w:lang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3E45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rPr>
                <w:rFonts w:hint="default" w:ascii="Times New Roman" w:hAnsi="Times New Roman" w:eastAsia="仿宋_GB2312" w:cs="Times New Roman"/>
                <w:i w:val="0"/>
                <w:iCs w:val="0"/>
                <w:color w:val="auto"/>
                <w:kern w:val="0"/>
                <w:sz w:val="24"/>
                <w:szCs w:val="24"/>
                <w:highlight w:val="none"/>
                <w:u w:val="none"/>
                <w:lang w:eastAsia="zh-CN" w:bidi="ar"/>
              </w:rPr>
            </w:pPr>
            <w:r>
              <w:rPr>
                <w:rFonts w:hint="default" w:ascii="Times New Roman" w:hAnsi="Times New Roman" w:cs="Times New Roman"/>
                <w:i w:val="0"/>
                <w:iCs w:val="0"/>
                <w:color w:val="auto"/>
                <w:kern w:val="0"/>
                <w:sz w:val="24"/>
                <w:szCs w:val="24"/>
                <w:highlight w:val="none"/>
                <w:u w:val="none"/>
                <w:lang w:eastAsia="zh-CN" w:bidi="ar"/>
              </w:rPr>
              <w:t>各平台、镇街</w:t>
            </w:r>
          </w:p>
        </w:tc>
      </w:tr>
      <w:tr w14:paraId="54791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92D4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28</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4ECE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B7C23">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Style w:val="34"/>
                <w:rFonts w:hint="default" w:ascii="Times New Roman" w:hAnsi="Times New Roman" w:cs="Times New Roman"/>
                <w:color w:val="auto"/>
                <w:highlight w:val="none"/>
              </w:rPr>
            </w:pPr>
            <w:r>
              <w:rPr>
                <w:rFonts w:hint="default" w:ascii="Times New Roman" w:hAnsi="Times New Roman" w:eastAsia="仿宋_GB2312" w:cs="Times New Roman"/>
                <w:b w:val="0"/>
                <w:bCs/>
                <w:color w:val="auto"/>
                <w:kern w:val="0"/>
                <w:sz w:val="24"/>
                <w:szCs w:val="20"/>
                <w:highlight w:val="none"/>
                <w:lang w:val="en-US" w:eastAsia="zh-CN" w:bidi="ar"/>
              </w:rPr>
              <w:t>针对重大项目土地空间、改造成本等关键诉求提供个性化政策支持，力争打造“软硬件协同”典型案例2个以上。</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0DE4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Style w:val="34"/>
                <w:rFonts w:hint="default" w:ascii="Times New Roman" w:hAnsi="Times New Roman" w:eastAsia="宋体" w:cs="Times New Roman"/>
                <w:color w:val="auto"/>
                <w:highlight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0769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cs="Times New Roman"/>
                <w:i w:val="0"/>
                <w:iCs w:val="0"/>
                <w:color w:val="auto"/>
                <w:sz w:val="24"/>
                <w:szCs w:val="24"/>
                <w:highlight w:val="none"/>
                <w:u w:val="none"/>
              </w:rPr>
              <w:t>区财政局、市规划资源局余杭分局</w:t>
            </w:r>
          </w:p>
        </w:tc>
      </w:tr>
      <w:tr w14:paraId="64F1C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72"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36D6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29</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083D8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8230A">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lang w:eastAsia="zh-CN"/>
              </w:rPr>
            </w:pPr>
            <w:r>
              <w:rPr>
                <w:rFonts w:hint="default" w:ascii="Times New Roman" w:hAnsi="Times New Roman" w:eastAsia="仿宋_GB2312" w:cs="Times New Roman"/>
                <w:i w:val="0"/>
                <w:iCs w:val="0"/>
                <w:color w:val="auto"/>
                <w:sz w:val="24"/>
                <w:szCs w:val="24"/>
                <w:highlight w:val="none"/>
                <w:u w:val="none"/>
                <w:lang w:eastAsia="zh-CN"/>
              </w:rPr>
              <w:t>促进制造业企业智转数改，推动大模型在企业数智化改造中的应用，加快轻量化、标准化、低成本智能应用赋能数智化转型，全年培育30家以上各级“未来工厂”体系企业。</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2DE1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6A8A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32B6A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67BF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2"/>
                <w:sz w:val="24"/>
                <w:szCs w:val="24"/>
                <w:highlight w:val="none"/>
                <w:u w:val="none"/>
                <w:lang w:val="en-US" w:eastAsia="zh-CN" w:bidi="ar-SA"/>
              </w:rPr>
            </w:pPr>
            <w:r>
              <w:rPr>
                <w:rFonts w:hint="default" w:ascii="Times New Roman" w:hAnsi="Times New Roman" w:eastAsia="宋体" w:cs="Times New Roman"/>
                <w:i w:val="0"/>
                <w:iCs w:val="0"/>
                <w:color w:val="auto"/>
                <w:kern w:val="2"/>
                <w:sz w:val="24"/>
                <w:szCs w:val="24"/>
                <w:highlight w:val="none"/>
                <w:u w:val="none"/>
                <w:lang w:val="en-US" w:eastAsia="zh-CN" w:bidi="ar-SA"/>
              </w:rPr>
              <w:t>30</w:t>
            </w:r>
          </w:p>
        </w:tc>
        <w:tc>
          <w:tcPr>
            <w:tcW w:w="1796" w:type="dxa"/>
            <w:vMerge w:val="restart"/>
            <w:tcBorders>
              <w:top w:val="single" w:color="000000" w:sz="4" w:space="0"/>
              <w:left w:val="single" w:color="000000" w:sz="4" w:space="0"/>
              <w:right w:val="single" w:color="000000" w:sz="4" w:space="0"/>
            </w:tcBorders>
            <w:shd w:val="clear" w:color="auto" w:fill="auto"/>
            <w:vAlign w:val="center"/>
          </w:tcPr>
          <w:p w14:paraId="6770FED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kern w:val="0"/>
                <w:sz w:val="24"/>
                <w:szCs w:val="24"/>
                <w:highlight w:val="none"/>
                <w:u w:val="none"/>
                <w:lang w:val="en-US" w:eastAsia="zh-CN" w:bidi="ar"/>
              </w:rPr>
            </w:pPr>
          </w:p>
          <w:p w14:paraId="258B59C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sz w:val="24"/>
                <w:szCs w:val="24"/>
                <w:highlight w:val="none"/>
                <w:u w:val="none"/>
              </w:rPr>
            </w:pPr>
            <w:r>
              <w:rPr>
                <w:rFonts w:hint="default" w:ascii="Times New Roman" w:hAnsi="Times New Roman" w:eastAsia="楷体_GB2312" w:cs="Times New Roman"/>
                <w:i w:val="0"/>
                <w:iCs w:val="0"/>
                <w:color w:val="auto"/>
                <w:kern w:val="0"/>
                <w:sz w:val="24"/>
                <w:szCs w:val="24"/>
                <w:highlight w:val="none"/>
                <w:u w:val="none"/>
                <w:lang w:val="en-US" w:eastAsia="zh-CN" w:bidi="ar"/>
              </w:rPr>
              <w:t>聚力“强产业”</w:t>
            </w:r>
            <w:r>
              <w:rPr>
                <w:rFonts w:hint="default" w:ascii="Times New Roman" w:hAnsi="Times New Roman" w:eastAsia="楷体_GB2312" w:cs="Times New Roman"/>
                <w:i w:val="0"/>
                <w:iCs w:val="0"/>
                <w:color w:val="auto"/>
                <w:kern w:val="0"/>
                <w:sz w:val="24"/>
                <w:szCs w:val="24"/>
                <w:highlight w:val="none"/>
                <w:u w:val="none"/>
                <w:lang w:val="en-US" w:eastAsia="zh-CN" w:bidi="ar"/>
              </w:rPr>
              <w:br w:type="textWrapping"/>
            </w:r>
            <w:r>
              <w:rPr>
                <w:rFonts w:hint="default" w:ascii="Times New Roman" w:hAnsi="Times New Roman" w:eastAsia="楷体_GB2312" w:cs="Times New Roman"/>
                <w:i w:val="0"/>
                <w:iCs w:val="0"/>
                <w:color w:val="auto"/>
                <w:kern w:val="0"/>
                <w:sz w:val="24"/>
                <w:szCs w:val="24"/>
                <w:highlight w:val="none"/>
                <w:u w:val="none"/>
                <w:lang w:val="en-US" w:eastAsia="zh-CN" w:bidi="ar"/>
              </w:rPr>
              <w:t>实施产业聚链工程</w:t>
            </w: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EDDD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以人工智能小镇为核心区，辐射南湖未来科学园、海创园、梦想小镇、数字健康产业园、阿里生态园、中电海康产业园，打造总建筑面积超</w:t>
            </w:r>
            <w:r>
              <w:rPr>
                <w:rStyle w:val="34"/>
                <w:rFonts w:hint="default" w:ascii="Times New Roman" w:hAnsi="Times New Roman" w:eastAsia="宋体" w:cs="Times New Roman"/>
                <w:color w:val="auto"/>
                <w:highlight w:val="none"/>
                <w:lang w:val="en-US" w:eastAsia="zh-CN" w:bidi="ar"/>
              </w:rPr>
              <w:t>24</w:t>
            </w:r>
            <w:r>
              <w:rPr>
                <w:rFonts w:hint="default" w:ascii="Times New Roman" w:hAnsi="Times New Roman" w:eastAsia="仿宋_GB2312" w:cs="Times New Roman"/>
                <w:i w:val="0"/>
                <w:iCs w:val="0"/>
                <w:color w:val="auto"/>
                <w:kern w:val="0"/>
                <w:sz w:val="24"/>
                <w:szCs w:val="24"/>
                <w:highlight w:val="none"/>
                <w:u w:val="none"/>
                <w:lang w:val="en-US" w:eastAsia="zh-CN" w:bidi="ar"/>
              </w:rPr>
              <w:t>万方的人工智能产业生态创新空间。</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74D2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区发改局、</w:t>
            </w:r>
          </w:p>
          <w:p w14:paraId="7E4448B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未来科技城</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EBD8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11F2A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2566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31</w:t>
            </w:r>
          </w:p>
        </w:tc>
        <w:tc>
          <w:tcPr>
            <w:tcW w:w="1796" w:type="dxa"/>
            <w:vMerge w:val="continue"/>
            <w:tcBorders>
              <w:left w:val="single" w:color="000000" w:sz="4" w:space="0"/>
              <w:right w:val="single" w:color="000000" w:sz="4" w:space="0"/>
            </w:tcBorders>
            <w:shd w:val="clear" w:color="auto" w:fill="auto"/>
            <w:vAlign w:val="center"/>
          </w:tcPr>
          <w:p w14:paraId="7FB3260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kern w:val="0"/>
                <w:sz w:val="24"/>
                <w:szCs w:val="24"/>
                <w:highlight w:val="none"/>
                <w:u w:val="none"/>
                <w:lang w:val="en-US" w:eastAsia="zh-CN" w:bidi="ar"/>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2891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kern w:val="0"/>
                <w:sz w:val="24"/>
                <w:szCs w:val="24"/>
                <w:highlight w:val="none"/>
                <w:u w:val="none"/>
                <w:lang w:val="en-US" w:eastAsia="zh-CN" w:bidi="ar"/>
              </w:rPr>
              <w:t>推</w:t>
            </w:r>
            <w:r>
              <w:rPr>
                <w:rFonts w:hint="default" w:ascii="Times New Roman" w:hAnsi="Times New Roman" w:eastAsia="仿宋_GB2312" w:cs="Times New Roman"/>
                <w:i w:val="0"/>
                <w:iCs w:val="0"/>
                <w:color w:val="auto"/>
                <w:kern w:val="0"/>
                <w:sz w:val="24"/>
                <w:szCs w:val="24"/>
                <w:highlight w:val="none"/>
                <w:u w:val="none"/>
                <w:lang w:val="en-US" w:eastAsia="zh-CN" w:bidi="ar"/>
              </w:rPr>
              <w:t>进良渚新城数字教育港建设，打造“政产学研用”一体化的数字教育协同创新发展平台。</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5F97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left"/>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kern w:val="0"/>
                <w:sz w:val="24"/>
                <w:szCs w:val="24"/>
                <w:highlight w:val="none"/>
                <w:u w:val="none"/>
                <w:lang w:val="en-US" w:eastAsia="zh-CN" w:bidi="ar"/>
              </w:rPr>
              <w:t>良渚新城</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8B05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61FCE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3739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32</w:t>
            </w:r>
          </w:p>
        </w:tc>
        <w:tc>
          <w:tcPr>
            <w:tcW w:w="1796" w:type="dxa"/>
            <w:vMerge w:val="continue"/>
            <w:tcBorders>
              <w:left w:val="single" w:color="000000" w:sz="4" w:space="0"/>
              <w:right w:val="single" w:color="000000" w:sz="4" w:space="0"/>
            </w:tcBorders>
            <w:shd w:val="clear" w:color="auto" w:fill="auto"/>
            <w:vAlign w:val="center"/>
          </w:tcPr>
          <w:p w14:paraId="4CA7817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3C92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争创省级类脑智能未来产业先导区</w:t>
            </w:r>
            <w:r>
              <w:rPr>
                <w:rFonts w:hint="default" w:ascii="Times New Roman" w:hAnsi="Times New Roman" w:cs="Times New Roman"/>
                <w:i w:val="0"/>
                <w:iCs w:val="0"/>
                <w:color w:val="auto"/>
                <w:kern w:val="0"/>
                <w:sz w:val="24"/>
                <w:szCs w:val="24"/>
                <w:highlight w:val="none"/>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3622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FF65D">
            <w:pPr>
              <w:keepNext w:val="0"/>
              <w:keepLines w:val="0"/>
              <w:widowControl/>
              <w:suppressLineNumbers w:val="0"/>
              <w:shd w:val="clear"/>
              <w:spacing w:before="0" w:beforeAutospacing="0" w:after="0" w:afterAutospacing="0" w:line="320" w:lineRule="exact"/>
              <w:ind w:left="0" w:right="0" w:firstLine="0" w:firstLineChars="0"/>
              <w:jc w:val="both"/>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cs="Times New Roman"/>
                <w:i w:val="0"/>
                <w:iCs w:val="0"/>
                <w:color w:val="auto"/>
                <w:sz w:val="24"/>
                <w:szCs w:val="24"/>
                <w:highlight w:val="none"/>
                <w:u w:val="none"/>
                <w:lang w:eastAsia="zh-CN"/>
              </w:rPr>
              <w:t>区委</w:t>
            </w:r>
            <w:r>
              <w:rPr>
                <w:rFonts w:hint="default" w:ascii="Times New Roman" w:hAnsi="Times New Roman" w:cs="Times New Roman"/>
                <w:i w:val="0"/>
                <w:iCs w:val="0"/>
                <w:color w:val="auto"/>
                <w:sz w:val="24"/>
                <w:szCs w:val="24"/>
                <w:highlight w:val="none"/>
                <w:u w:val="none"/>
              </w:rPr>
              <w:t>人才办</w:t>
            </w:r>
            <w:r>
              <w:rPr>
                <w:rFonts w:hint="default" w:ascii="Times New Roman" w:hAnsi="Times New Roman" w:cs="Times New Roman"/>
                <w:i w:val="0"/>
                <w:iCs w:val="0"/>
                <w:color w:val="auto"/>
                <w:sz w:val="24"/>
                <w:szCs w:val="24"/>
                <w:highlight w:val="none"/>
                <w:u w:val="none"/>
                <w:lang w:eastAsia="zh-CN"/>
              </w:rPr>
              <w:t>、</w:t>
            </w:r>
            <w:r>
              <w:rPr>
                <w:rFonts w:hint="default" w:ascii="Times New Roman" w:hAnsi="Times New Roman" w:cs="Times New Roman"/>
                <w:i w:val="0"/>
                <w:iCs w:val="0"/>
                <w:color w:val="auto"/>
                <w:sz w:val="24"/>
                <w:szCs w:val="24"/>
                <w:highlight w:val="none"/>
                <w:u w:val="none"/>
              </w:rPr>
              <w:t>区发改局</w:t>
            </w:r>
            <w:r>
              <w:rPr>
                <w:rFonts w:hint="default" w:ascii="Times New Roman" w:hAnsi="Times New Roman" w:cs="Times New Roman"/>
                <w:i w:val="0"/>
                <w:iCs w:val="0"/>
                <w:color w:val="auto"/>
                <w:sz w:val="24"/>
                <w:szCs w:val="24"/>
                <w:highlight w:val="none"/>
                <w:u w:val="none"/>
                <w:lang w:eastAsia="zh-CN"/>
              </w:rPr>
              <w:t>、</w:t>
            </w:r>
            <w:r>
              <w:rPr>
                <w:rFonts w:hint="default" w:ascii="Times New Roman" w:hAnsi="Times New Roman" w:cs="Times New Roman"/>
                <w:i w:val="0"/>
                <w:iCs w:val="0"/>
                <w:color w:val="auto"/>
                <w:sz w:val="24"/>
                <w:szCs w:val="24"/>
                <w:highlight w:val="none"/>
                <w:u w:val="none"/>
              </w:rPr>
              <w:t>区科技局</w:t>
            </w:r>
            <w:r>
              <w:rPr>
                <w:rFonts w:hint="default" w:ascii="Times New Roman" w:hAnsi="Times New Roman" w:cs="Times New Roman"/>
                <w:i w:val="0"/>
                <w:iCs w:val="0"/>
                <w:color w:val="auto"/>
                <w:sz w:val="24"/>
                <w:szCs w:val="24"/>
                <w:highlight w:val="none"/>
                <w:u w:val="none"/>
                <w:lang w:eastAsia="zh-CN"/>
              </w:rPr>
              <w:t>、</w:t>
            </w:r>
            <w:r>
              <w:rPr>
                <w:rFonts w:hint="default" w:ascii="Times New Roman" w:hAnsi="Times New Roman" w:cs="Times New Roman"/>
                <w:i w:val="0"/>
                <w:iCs w:val="0"/>
                <w:color w:val="auto"/>
                <w:sz w:val="24"/>
                <w:szCs w:val="24"/>
                <w:highlight w:val="none"/>
                <w:u w:val="none"/>
              </w:rPr>
              <w:t>未来科技城</w:t>
            </w:r>
          </w:p>
        </w:tc>
      </w:tr>
      <w:tr w14:paraId="1A439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87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EC68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33</w:t>
            </w:r>
          </w:p>
        </w:tc>
        <w:tc>
          <w:tcPr>
            <w:tcW w:w="1796" w:type="dxa"/>
            <w:vMerge w:val="continue"/>
            <w:tcBorders>
              <w:left w:val="single" w:color="000000" w:sz="4" w:space="0"/>
              <w:right w:val="single" w:color="000000" w:sz="4" w:space="0"/>
            </w:tcBorders>
            <w:shd w:val="clear" w:color="auto" w:fill="auto"/>
            <w:vAlign w:val="center"/>
          </w:tcPr>
          <w:p w14:paraId="32645B4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1516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推进余杭区省级低空经济先飞区试点建设</w:t>
            </w:r>
            <w:r>
              <w:rPr>
                <w:rFonts w:hint="default" w:ascii="Times New Roman" w:hAnsi="Times New Roman" w:cs="Times New Roman"/>
                <w:i w:val="0"/>
                <w:iCs w:val="0"/>
                <w:color w:val="auto"/>
                <w:kern w:val="0"/>
                <w:sz w:val="24"/>
                <w:szCs w:val="24"/>
                <w:highlight w:val="none"/>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DD71C">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0"/>
                <w:sz w:val="24"/>
                <w:szCs w:val="24"/>
                <w:highlight w:val="none"/>
                <w:u w:val="none"/>
                <w:lang w:val="en-US" w:eastAsia="zh-CN" w:bidi="ar"/>
              </w:rPr>
            </w:pPr>
            <w:r>
              <w:rPr>
                <w:rFonts w:hint="default" w:ascii="Times New Roman" w:hAnsi="Times New Roman" w:eastAsia="仿宋_GB2312" w:cs="Times New Roman"/>
                <w:i w:val="0"/>
                <w:iCs w:val="0"/>
                <w:color w:val="auto"/>
                <w:kern w:val="0"/>
                <w:sz w:val="24"/>
                <w:szCs w:val="24"/>
                <w:highlight w:val="none"/>
                <w:u w:val="none"/>
                <w:lang w:val="en-US" w:eastAsia="zh-CN" w:bidi="ar"/>
              </w:rPr>
              <w:t>区交通运输局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AB13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66E79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5185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34</w:t>
            </w:r>
          </w:p>
        </w:tc>
        <w:tc>
          <w:tcPr>
            <w:tcW w:w="1796" w:type="dxa"/>
            <w:vMerge w:val="continue"/>
            <w:tcBorders>
              <w:left w:val="single" w:color="000000" w:sz="4" w:space="0"/>
              <w:right w:val="single" w:color="000000" w:sz="4" w:space="0"/>
            </w:tcBorders>
            <w:shd w:val="clear" w:color="auto" w:fill="auto"/>
            <w:vAlign w:val="center"/>
          </w:tcPr>
          <w:p w14:paraId="5671A2F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1AB2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支持人工智能企业组团参与巴塞罗那物联网展览会、日本大阪世博会、世界互联网大会、全球数字贸易博览会等境内外重点展会</w:t>
            </w:r>
            <w:r>
              <w:rPr>
                <w:rFonts w:hint="default" w:ascii="Times New Roman" w:hAnsi="Times New Roman" w:cs="Times New Roman"/>
                <w:i w:val="0"/>
                <w:iCs w:val="0"/>
                <w:color w:val="auto"/>
                <w:kern w:val="0"/>
                <w:sz w:val="24"/>
                <w:szCs w:val="24"/>
                <w:highlight w:val="none"/>
                <w:u w:val="none"/>
                <w:lang w:val="en-US" w:eastAsia="zh-CN" w:bidi="ar"/>
              </w:rPr>
              <w:t>5</w:t>
            </w:r>
            <w:r>
              <w:rPr>
                <w:rFonts w:hint="default" w:ascii="Times New Roman" w:hAnsi="Times New Roman" w:eastAsia="仿宋_GB2312" w:cs="Times New Roman"/>
                <w:i w:val="0"/>
                <w:iCs w:val="0"/>
                <w:color w:val="auto"/>
                <w:kern w:val="0"/>
                <w:sz w:val="24"/>
                <w:szCs w:val="24"/>
                <w:highlight w:val="none"/>
                <w:u w:val="none"/>
                <w:lang w:val="en-US" w:eastAsia="zh-CN" w:bidi="ar"/>
              </w:rPr>
              <w:t>场以上</w:t>
            </w:r>
            <w:r>
              <w:rPr>
                <w:rFonts w:hint="default" w:ascii="Times New Roman" w:hAnsi="Times New Roman" w:cs="Times New Roman"/>
                <w:i w:val="0"/>
                <w:iCs w:val="0"/>
                <w:color w:val="auto"/>
                <w:kern w:val="0"/>
                <w:sz w:val="24"/>
                <w:szCs w:val="24"/>
                <w:highlight w:val="none"/>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14693">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sz w:val="24"/>
                <w:szCs w:val="24"/>
                <w:highlight w:val="none"/>
                <w:u w:val="none"/>
              </w:rPr>
            </w:pPr>
            <w:r>
              <w:rPr>
                <w:rFonts w:hint="default" w:ascii="Times New Roman" w:hAnsi="Times New Roman" w:eastAsia="仿宋_GB2312" w:cs="Times New Roman"/>
                <w:i w:val="0"/>
                <w:iCs w:val="0"/>
                <w:color w:val="auto"/>
                <w:kern w:val="0"/>
                <w:sz w:val="24"/>
                <w:szCs w:val="24"/>
                <w:highlight w:val="none"/>
                <w:u w:val="none"/>
                <w:lang w:val="en-US" w:eastAsia="zh-CN" w:bidi="ar"/>
              </w:rPr>
              <w:t>区商务局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CCD9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default" w:ascii="Times New Roman" w:hAnsi="Times New Roman" w:eastAsia="仿宋_GB2312"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sz w:val="24"/>
                <w:szCs w:val="24"/>
                <w:highlight w:val="none"/>
                <w:u w:val="none"/>
                <w:lang w:val="en-US" w:eastAsia="zh-CN"/>
              </w:rPr>
              <w:t>/</w:t>
            </w:r>
          </w:p>
        </w:tc>
      </w:tr>
      <w:tr w14:paraId="680F1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FB296">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35</w:t>
            </w:r>
          </w:p>
        </w:tc>
        <w:tc>
          <w:tcPr>
            <w:tcW w:w="17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668F8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楷体_GB2312" w:cs="Times New Roman"/>
                <w:i w:val="0"/>
                <w:iCs w:val="0"/>
                <w:color w:val="auto"/>
                <w:sz w:val="24"/>
                <w:szCs w:val="24"/>
                <w:highlight w:val="none"/>
                <w:u w:val="none"/>
              </w:rPr>
            </w:pPr>
            <w:r>
              <w:rPr>
                <w:rFonts w:hint="default" w:ascii="Times New Roman" w:hAnsi="Times New Roman" w:eastAsia="楷体_GB2312" w:cs="Times New Roman"/>
                <w:i w:val="0"/>
                <w:iCs w:val="0"/>
                <w:color w:val="auto"/>
                <w:kern w:val="0"/>
                <w:sz w:val="24"/>
                <w:szCs w:val="24"/>
                <w:highlight w:val="none"/>
                <w:u w:val="none"/>
                <w:lang w:val="en-US" w:eastAsia="zh-CN" w:bidi="ar"/>
              </w:rPr>
              <w:t>聚力“强生态”</w:t>
            </w:r>
            <w:r>
              <w:rPr>
                <w:rFonts w:hint="default" w:ascii="Times New Roman" w:hAnsi="Times New Roman" w:eastAsia="楷体_GB2312" w:cs="Times New Roman"/>
                <w:i w:val="0"/>
                <w:iCs w:val="0"/>
                <w:color w:val="auto"/>
                <w:kern w:val="0"/>
                <w:sz w:val="24"/>
                <w:szCs w:val="24"/>
                <w:highlight w:val="none"/>
                <w:u w:val="none"/>
                <w:lang w:val="en-US" w:eastAsia="zh-CN" w:bidi="ar"/>
              </w:rPr>
              <w:br w:type="textWrapping"/>
            </w:r>
            <w:r>
              <w:rPr>
                <w:rFonts w:hint="default" w:ascii="Times New Roman" w:hAnsi="Times New Roman" w:eastAsia="楷体_GB2312" w:cs="Times New Roman"/>
                <w:i w:val="0"/>
                <w:iCs w:val="0"/>
                <w:color w:val="auto"/>
                <w:kern w:val="0"/>
                <w:sz w:val="24"/>
                <w:szCs w:val="24"/>
                <w:highlight w:val="none"/>
                <w:u w:val="none"/>
                <w:lang w:val="en-US" w:eastAsia="zh-CN" w:bidi="ar"/>
              </w:rPr>
              <w:t>实施要素汇聚工程</w:t>
            </w: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B501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设立支持人工智能专项基金，创新投资机制，联动社会资本，设立AI生态（人才）基金、天堂硅谷基金、九智基金等人工智能产业子基金6支以上，形成总规模</w:t>
            </w:r>
            <w:r>
              <w:rPr>
                <w:rFonts w:hint="default" w:ascii="Times New Roman" w:hAnsi="Times New Roman" w:cs="Times New Roman"/>
                <w:i w:val="0"/>
                <w:iCs w:val="0"/>
                <w:color w:val="auto"/>
                <w:kern w:val="0"/>
                <w:sz w:val="24"/>
                <w:szCs w:val="24"/>
                <w:highlight w:val="none"/>
                <w:u w:val="none"/>
                <w:lang w:val="en-US" w:eastAsia="zh-CN" w:bidi="ar"/>
              </w:rPr>
              <w:t>累计</w:t>
            </w:r>
            <w:r>
              <w:rPr>
                <w:rFonts w:hint="default" w:ascii="Times New Roman" w:hAnsi="Times New Roman" w:eastAsia="仿宋_GB2312" w:cs="Times New Roman"/>
                <w:i w:val="0"/>
                <w:iCs w:val="0"/>
                <w:color w:val="auto"/>
                <w:kern w:val="0"/>
                <w:sz w:val="24"/>
                <w:szCs w:val="24"/>
                <w:highlight w:val="none"/>
                <w:u w:val="none"/>
                <w:lang w:val="en-US" w:eastAsia="zh-CN" w:bidi="ar"/>
              </w:rPr>
              <w:t>300亿元的人工智能基金池</w:t>
            </w:r>
            <w:r>
              <w:rPr>
                <w:rFonts w:hint="default" w:ascii="Times New Roman" w:hAnsi="Times New Roman" w:cs="Times New Roman"/>
                <w:i w:val="0"/>
                <w:iCs w:val="0"/>
                <w:color w:val="auto"/>
                <w:kern w:val="0"/>
                <w:sz w:val="24"/>
                <w:szCs w:val="24"/>
                <w:highlight w:val="none"/>
                <w:u w:val="none"/>
                <w:lang w:val="en-US" w:eastAsia="zh-CN" w:bidi="ar"/>
              </w:rPr>
              <w:t>。</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946C2">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区国投集团</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763A3">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color w:val="auto"/>
                <w:kern w:val="2"/>
                <w:sz w:val="32"/>
                <w:szCs w:val="22"/>
                <w:highlight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区财政局</w:t>
            </w:r>
          </w:p>
        </w:tc>
      </w:tr>
      <w:tr w14:paraId="16D81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F16D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36</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7DC1A9">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1AA0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2"/>
                <w:sz w:val="24"/>
                <w:szCs w:val="24"/>
                <w:highlight w:val="none"/>
                <w:u w:val="none"/>
                <w:lang w:val="en-US" w:eastAsia="zh-CN" w:bidi="ar-SA"/>
              </w:rPr>
              <w:t>依托国家省市各类人才申报工程，加大对人工智能领域海内外高层次领军人才招引。</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B1258">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kern w:val="0"/>
                <w:sz w:val="24"/>
                <w:szCs w:val="24"/>
                <w:highlight w:val="none"/>
                <w:u w:val="none"/>
                <w:lang w:val="en-US" w:eastAsia="zh-CN" w:bidi="ar"/>
              </w:rPr>
              <w:t>各平台、镇街</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BD69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kern w:val="2"/>
                <w:sz w:val="24"/>
                <w:szCs w:val="24"/>
                <w:highlight w:val="none"/>
                <w:u w:val="none"/>
                <w:lang w:val="en-US" w:eastAsia="zh-CN" w:bidi="ar"/>
              </w:rPr>
              <w:t>区委人才办、区人社局</w:t>
            </w:r>
          </w:p>
        </w:tc>
      </w:tr>
      <w:tr w14:paraId="668C3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5FA1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37</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6228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65B3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cs="Times New Roman"/>
                <w:b w:val="0"/>
                <w:bCs w:val="0"/>
                <w:color w:val="auto"/>
                <w:sz w:val="24"/>
                <w:szCs w:val="24"/>
                <w:highlight w:val="none"/>
                <w:u w:val="none"/>
                <w:lang w:val="en-US" w:eastAsia="zh-CN"/>
              </w:rPr>
            </w:pPr>
            <w:r>
              <w:rPr>
                <w:rFonts w:hint="default" w:ascii="Times New Roman" w:hAnsi="Times New Roman" w:eastAsia="仿宋_GB2312" w:cs="Times New Roman"/>
                <w:i w:val="0"/>
                <w:iCs w:val="0"/>
                <w:color w:val="auto"/>
                <w:kern w:val="2"/>
                <w:sz w:val="24"/>
                <w:szCs w:val="24"/>
                <w:highlight w:val="none"/>
                <w:u w:val="none"/>
                <w:lang w:val="en-US" w:eastAsia="zh-CN" w:bidi="ar-SA"/>
              </w:rPr>
              <w:t>推进人工智能卓越工程师队伍建设，当年新增卓越工程师5名。</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DDC04">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sz w:val="24"/>
                <w:szCs w:val="24"/>
                <w:highlight w:val="none"/>
                <w:u w:val="none"/>
                <w:lang w:val="en-US" w:eastAsia="zh-CN"/>
              </w:rPr>
              <w:t>区经信局</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C471E">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cs="Times New Roman"/>
                <w:i w:val="0"/>
                <w:iCs w:val="0"/>
                <w:color w:val="auto"/>
                <w:kern w:val="2"/>
                <w:sz w:val="24"/>
                <w:szCs w:val="24"/>
                <w:highlight w:val="none"/>
                <w:u w:val="none"/>
                <w:lang w:val="en-US" w:eastAsia="zh-CN" w:bidi="ar"/>
              </w:rPr>
              <w:t>区委人才办、区人社局</w:t>
            </w:r>
          </w:p>
        </w:tc>
      </w:tr>
      <w:tr w14:paraId="28F4C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1663F">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2"/>
                <w:sz w:val="24"/>
                <w:szCs w:val="24"/>
                <w:highlight w:val="none"/>
                <w:u w:val="none"/>
                <w:lang w:val="en-US" w:eastAsia="zh-CN" w:bidi="ar-SA"/>
              </w:rPr>
            </w:pPr>
            <w:r>
              <w:rPr>
                <w:rFonts w:hint="default" w:ascii="Times New Roman" w:hAnsi="Times New Roman" w:eastAsia="宋体" w:cs="Times New Roman"/>
                <w:i w:val="0"/>
                <w:iCs w:val="0"/>
                <w:color w:val="auto"/>
                <w:kern w:val="0"/>
                <w:sz w:val="24"/>
                <w:szCs w:val="24"/>
                <w:highlight w:val="none"/>
                <w:u w:val="none"/>
                <w:lang w:val="en-US" w:eastAsia="zh-CN" w:bidi="ar"/>
              </w:rPr>
              <w:t>38</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4CFCB0">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D6D2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cs="Times New Roman"/>
                <w:b w:val="0"/>
                <w:bCs w:val="0"/>
                <w:color w:val="auto"/>
                <w:sz w:val="24"/>
                <w:szCs w:val="24"/>
                <w:highlight w:val="none"/>
                <w:u w:val="none"/>
                <w:lang w:val="en-US" w:eastAsia="zh-CN"/>
              </w:rPr>
            </w:pPr>
            <w:r>
              <w:rPr>
                <w:rFonts w:hint="default" w:ascii="Times New Roman" w:hAnsi="Times New Roman" w:eastAsia="仿宋_GB2312" w:cs="Times New Roman"/>
                <w:i w:val="0"/>
                <w:iCs w:val="0"/>
                <w:color w:val="auto"/>
                <w:kern w:val="2"/>
                <w:sz w:val="24"/>
                <w:szCs w:val="24"/>
                <w:highlight w:val="none"/>
                <w:u w:val="none"/>
                <w:lang w:val="en-US" w:eastAsia="zh-CN" w:bidi="ar-SA"/>
              </w:rPr>
              <w:t>加强人工智能领域人才有序流动，培育</w:t>
            </w:r>
            <w:r>
              <w:rPr>
                <w:rFonts w:hint="default" w:ascii="Times New Roman" w:hAnsi="Times New Roman" w:cs="Times New Roman"/>
                <w:i w:val="0"/>
                <w:iCs w:val="0"/>
                <w:color w:val="auto"/>
                <w:kern w:val="2"/>
                <w:sz w:val="24"/>
                <w:szCs w:val="24"/>
                <w:highlight w:val="none"/>
                <w:u w:val="none"/>
                <w:lang w:val="en-US" w:eastAsia="zh-CN" w:bidi="ar-SA"/>
              </w:rPr>
              <w:t>“</w:t>
            </w:r>
            <w:r>
              <w:rPr>
                <w:rFonts w:hint="default" w:ascii="Times New Roman" w:hAnsi="Times New Roman" w:eastAsia="仿宋_GB2312" w:cs="Times New Roman"/>
                <w:i w:val="0"/>
                <w:iCs w:val="0"/>
                <w:color w:val="auto"/>
                <w:kern w:val="2"/>
                <w:sz w:val="24"/>
                <w:szCs w:val="24"/>
                <w:highlight w:val="none"/>
                <w:u w:val="none"/>
                <w:lang w:val="en-US" w:eastAsia="zh-CN" w:bidi="ar-SA"/>
              </w:rPr>
              <w:t>人工智能</w:t>
            </w:r>
            <w:r>
              <w:rPr>
                <w:rFonts w:hint="default" w:ascii="Times New Roman" w:hAnsi="Times New Roman" w:cs="Times New Roman"/>
                <w:i w:val="0"/>
                <w:iCs w:val="0"/>
                <w:color w:val="auto"/>
                <w:kern w:val="2"/>
                <w:sz w:val="24"/>
                <w:szCs w:val="24"/>
                <w:highlight w:val="none"/>
                <w:u w:val="none"/>
                <w:lang w:val="en-US" w:eastAsia="zh-CN" w:bidi="ar-SA"/>
              </w:rPr>
              <w:t>+”</w:t>
            </w:r>
            <w:r>
              <w:rPr>
                <w:rFonts w:hint="default" w:ascii="Times New Roman" w:hAnsi="Times New Roman" w:eastAsia="仿宋_GB2312" w:cs="Times New Roman"/>
                <w:i w:val="0"/>
                <w:iCs w:val="0"/>
                <w:color w:val="auto"/>
                <w:kern w:val="2"/>
                <w:sz w:val="24"/>
                <w:szCs w:val="24"/>
                <w:highlight w:val="none"/>
                <w:u w:val="none"/>
                <w:lang w:val="en-US" w:eastAsia="zh-CN" w:bidi="ar-SA"/>
              </w:rPr>
              <w:t>领域‘校企双聘’人才</w:t>
            </w:r>
            <w:r>
              <w:rPr>
                <w:rFonts w:hint="default" w:ascii="Times New Roman" w:hAnsi="Times New Roman" w:cs="Times New Roman"/>
                <w:i w:val="0"/>
                <w:iCs w:val="0"/>
                <w:color w:val="auto"/>
                <w:kern w:val="2"/>
                <w:sz w:val="24"/>
                <w:szCs w:val="24"/>
                <w:highlight w:val="none"/>
                <w:u w:val="none"/>
                <w:lang w:val="en-US" w:eastAsia="zh-CN" w:bidi="ar-SA"/>
              </w:rPr>
              <w:t>6</w:t>
            </w:r>
            <w:r>
              <w:rPr>
                <w:rFonts w:hint="default" w:ascii="Times New Roman" w:hAnsi="Times New Roman" w:eastAsia="仿宋_GB2312" w:cs="Times New Roman"/>
                <w:i w:val="0"/>
                <w:iCs w:val="0"/>
                <w:color w:val="auto"/>
                <w:kern w:val="2"/>
                <w:sz w:val="24"/>
                <w:szCs w:val="24"/>
                <w:highlight w:val="none"/>
                <w:u w:val="none"/>
                <w:lang w:val="en-US" w:eastAsia="zh-CN" w:bidi="ar-SA"/>
              </w:rPr>
              <w:t>名。</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CA48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cs="Times New Roman"/>
                <w:i w:val="0"/>
                <w:iCs w:val="0"/>
                <w:color w:val="auto"/>
                <w:sz w:val="24"/>
                <w:szCs w:val="24"/>
                <w:highlight w:val="none"/>
                <w:u w:val="none"/>
                <w:lang w:val="en-US" w:eastAsia="zh-CN"/>
              </w:rPr>
            </w:pPr>
            <w:r>
              <w:rPr>
                <w:rFonts w:hint="default" w:ascii="Times New Roman" w:hAnsi="Times New Roman" w:cs="Times New Roman"/>
                <w:i w:val="0"/>
                <w:iCs w:val="0"/>
                <w:color w:val="auto"/>
                <w:kern w:val="2"/>
                <w:sz w:val="24"/>
                <w:szCs w:val="24"/>
                <w:highlight w:val="none"/>
                <w:u w:val="none"/>
                <w:lang w:val="en-US" w:eastAsia="zh-CN" w:bidi="ar"/>
              </w:rPr>
              <w:t>区委人才办</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C7851">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cs="Times New Roman"/>
                <w:i w:val="0"/>
                <w:iCs w:val="0"/>
                <w:color w:val="auto"/>
                <w:kern w:val="2"/>
                <w:sz w:val="24"/>
                <w:szCs w:val="24"/>
                <w:highlight w:val="none"/>
                <w:u w:val="none"/>
                <w:lang w:val="en-US" w:eastAsia="zh-CN" w:bidi="ar"/>
              </w:rPr>
            </w:pPr>
            <w:r>
              <w:rPr>
                <w:rFonts w:hint="default" w:ascii="Times New Roman" w:hAnsi="Times New Roman" w:cs="Times New Roman"/>
                <w:i w:val="0"/>
                <w:iCs w:val="0"/>
                <w:color w:val="auto"/>
                <w:kern w:val="0"/>
                <w:sz w:val="24"/>
                <w:szCs w:val="24"/>
                <w:highlight w:val="none"/>
                <w:u w:val="none"/>
                <w:lang w:val="en-US" w:eastAsia="zh-CN" w:bidi="ar"/>
              </w:rPr>
              <w:t>区经信局、</w:t>
            </w:r>
            <w:r>
              <w:rPr>
                <w:rFonts w:hint="default" w:ascii="Times New Roman" w:hAnsi="Times New Roman" w:cs="Times New Roman"/>
                <w:i w:val="0"/>
                <w:iCs w:val="0"/>
                <w:color w:val="auto"/>
                <w:kern w:val="2"/>
                <w:sz w:val="24"/>
                <w:szCs w:val="24"/>
                <w:highlight w:val="none"/>
                <w:u w:val="none"/>
                <w:lang w:val="en-US" w:eastAsia="zh-CN" w:bidi="ar"/>
              </w:rPr>
              <w:t>区人社局</w:t>
            </w:r>
          </w:p>
        </w:tc>
      </w:tr>
      <w:tr w14:paraId="6E888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B90D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center"/>
              <w:textAlignment w:val="center"/>
              <w:rPr>
                <w:rFonts w:hint="default" w:ascii="Times New Roman" w:hAnsi="Times New Roman" w:eastAsia="宋体" w:cs="Times New Roman"/>
                <w:i w:val="0"/>
                <w:iCs w:val="0"/>
                <w:color w:val="auto"/>
                <w:spacing w:val="-6"/>
                <w:kern w:val="0"/>
                <w:sz w:val="24"/>
                <w:szCs w:val="24"/>
                <w:highlight w:val="none"/>
                <w:u w:val="none"/>
                <w:lang w:val="en-US" w:eastAsia="zh-CN" w:bidi="ar"/>
              </w:rPr>
            </w:pPr>
            <w:r>
              <w:rPr>
                <w:rFonts w:hint="default" w:ascii="Times New Roman" w:hAnsi="Times New Roman" w:eastAsia="宋体" w:cs="Times New Roman"/>
                <w:i w:val="0"/>
                <w:iCs w:val="0"/>
                <w:color w:val="auto"/>
                <w:kern w:val="0"/>
                <w:sz w:val="24"/>
                <w:szCs w:val="24"/>
                <w:highlight w:val="none"/>
                <w:u w:val="none"/>
                <w:lang w:val="en-US" w:eastAsia="zh-CN" w:bidi="ar"/>
              </w:rPr>
              <w:t>39</w:t>
            </w:r>
          </w:p>
        </w:tc>
        <w:tc>
          <w:tcPr>
            <w:tcW w:w="17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3E1AD5">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right="0"/>
              <w:jc w:val="both"/>
              <w:rPr>
                <w:rFonts w:hint="default" w:ascii="Times New Roman" w:hAnsi="Times New Roman" w:eastAsia="楷体_GB2312" w:cs="Times New Roman"/>
                <w:i w:val="0"/>
                <w:iCs w:val="0"/>
                <w:color w:val="auto"/>
                <w:sz w:val="24"/>
                <w:szCs w:val="24"/>
                <w:highlight w:val="none"/>
                <w:u w:val="none"/>
              </w:rPr>
            </w:pPr>
          </w:p>
        </w:tc>
        <w:tc>
          <w:tcPr>
            <w:tcW w:w="7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E0BD">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宋体"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2"/>
                <w:sz w:val="24"/>
                <w:szCs w:val="24"/>
                <w:highlight w:val="none"/>
                <w:u w:val="none"/>
                <w:lang w:val="en-US" w:eastAsia="zh-CN" w:bidi="ar-SA"/>
              </w:rPr>
              <w:t>筹建国家级人工智能产业知识产权运营中心，建设全球人工智能专利数据库，实施人工智能领域知识产权证券化融资专项支持行动，发行2支知识产权证券化产品。</w:t>
            </w:r>
          </w:p>
        </w:tc>
        <w:tc>
          <w:tcPr>
            <w:tcW w:w="16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658AA">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未来科技城</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53657">
            <w:pPr>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320" w:lineRule="exact"/>
              <w:ind w:left="0" w:leftChars="0" w:right="0" w:firstLine="0" w:firstLineChars="0"/>
              <w:jc w:val="both"/>
              <w:textAlignment w:val="center"/>
              <w:rPr>
                <w:rFonts w:hint="default" w:ascii="Times New Roman" w:hAnsi="Times New Roman" w:eastAsia="仿宋_GB2312" w:cs="Times New Roman"/>
                <w:i w:val="0"/>
                <w:iCs w:val="0"/>
                <w:color w:val="auto"/>
                <w:kern w:val="2"/>
                <w:sz w:val="24"/>
                <w:szCs w:val="24"/>
                <w:highlight w:val="none"/>
                <w:u w:val="none"/>
                <w:lang w:val="en-US" w:eastAsia="zh-CN" w:bidi="ar-SA"/>
              </w:rPr>
            </w:pPr>
            <w:r>
              <w:rPr>
                <w:rFonts w:hint="default" w:ascii="Times New Roman" w:hAnsi="Times New Roman" w:eastAsia="仿宋_GB2312" w:cs="Times New Roman"/>
                <w:i w:val="0"/>
                <w:iCs w:val="0"/>
                <w:color w:val="auto"/>
                <w:kern w:val="0"/>
                <w:sz w:val="24"/>
                <w:szCs w:val="24"/>
                <w:highlight w:val="none"/>
                <w:u w:val="none"/>
                <w:lang w:val="en-US" w:eastAsia="zh-CN" w:bidi="ar"/>
              </w:rPr>
              <w:t>区市场监管局</w:t>
            </w:r>
          </w:p>
        </w:tc>
      </w:tr>
    </w:tbl>
    <w:p w14:paraId="3B01D294">
      <w:pPr>
        <w:ind w:left="0" w:leftChars="0" w:firstLine="0" w:firstLineChars="0"/>
        <w:rPr>
          <w:rFonts w:hint="eastAsia"/>
          <w:lang w:val="en-US" w:eastAsia="zh-CN"/>
        </w:rPr>
      </w:pPr>
    </w:p>
    <w:sectPr>
      <w:footerReference r:id="rId6" w:type="default"/>
      <w:pgSz w:w="16838" w:h="11906" w:orient="landscape"/>
      <w:pgMar w:top="1587" w:right="2098" w:bottom="1474" w:left="1984"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62598">
    <w:pPr>
      <w:pStyle w:val="15"/>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B19B30F">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7B19B30F">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13E86">
    <w:pPr>
      <w:pStyle w:val="15"/>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DD33F0">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5DD33F0">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62FCF6"/>
    <w:multiLevelType w:val="singleLevel"/>
    <w:tmpl w:val="D162FCF6"/>
    <w:lvl w:ilvl="0" w:tentative="0">
      <w:start w:val="1"/>
      <w:numFmt w:val="chineseCounting"/>
      <w:suff w:val="nothing"/>
      <w:lvlText w:val="%1、"/>
      <w:lvlJc w:val="left"/>
      <w:rPr>
        <w:rFonts w:hint="eastAsia"/>
      </w:rPr>
    </w:lvl>
  </w:abstractNum>
  <w:abstractNum w:abstractNumId="1">
    <w:nsid w:val="F1ED02FC"/>
    <w:multiLevelType w:val="multilevel"/>
    <w:tmpl w:val="F1ED02FC"/>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2">
    <w:nsid w:val="701FF5CB"/>
    <w:multiLevelType w:val="singleLevel"/>
    <w:tmpl w:val="701FF5CB"/>
    <w:lvl w:ilvl="0" w:tentative="0">
      <w:start w:val="1"/>
      <w:numFmt w:val="chineseCounting"/>
      <w:suff w:val="nothing"/>
      <w:lvlText w:val="（%1）"/>
      <w:lvlJc w:val="left"/>
      <w:rPr>
        <w:rFonts w:hint="eastAsia"/>
      </w:rPr>
    </w:lvl>
  </w:abstractNum>
  <w:abstractNum w:abstractNumId="3">
    <w:nsid w:val="75E6BB59"/>
    <w:multiLevelType w:val="singleLevel"/>
    <w:tmpl w:val="75E6BB59"/>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0"/>
  <w:bordersDoNotSurroundFooter w:val="0"/>
  <w:documentProtection w:enforcement="0"/>
  <w:defaultTabStop w:val="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7B6F39"/>
    <w:rsid w:val="009766BB"/>
    <w:rsid w:val="00C72081"/>
    <w:rsid w:val="01B51311"/>
    <w:rsid w:val="023A4BFB"/>
    <w:rsid w:val="03736EF5"/>
    <w:rsid w:val="03F11A1C"/>
    <w:rsid w:val="03F6F8C7"/>
    <w:rsid w:val="04343D5C"/>
    <w:rsid w:val="054D765B"/>
    <w:rsid w:val="06017E71"/>
    <w:rsid w:val="06456265"/>
    <w:rsid w:val="06590717"/>
    <w:rsid w:val="066C2ED0"/>
    <w:rsid w:val="07C61556"/>
    <w:rsid w:val="08E07516"/>
    <w:rsid w:val="0A326B00"/>
    <w:rsid w:val="0A7A4318"/>
    <w:rsid w:val="0BBA3EF7"/>
    <w:rsid w:val="0E5B11DC"/>
    <w:rsid w:val="10084240"/>
    <w:rsid w:val="106B4B1A"/>
    <w:rsid w:val="10775FD0"/>
    <w:rsid w:val="114C7B6B"/>
    <w:rsid w:val="11F64413"/>
    <w:rsid w:val="12A96181"/>
    <w:rsid w:val="1324232F"/>
    <w:rsid w:val="133140EC"/>
    <w:rsid w:val="135466F9"/>
    <w:rsid w:val="13B54ED6"/>
    <w:rsid w:val="13C278A6"/>
    <w:rsid w:val="13D11D8B"/>
    <w:rsid w:val="14E8749D"/>
    <w:rsid w:val="15A47D61"/>
    <w:rsid w:val="15EA2091"/>
    <w:rsid w:val="16134D79"/>
    <w:rsid w:val="162D17AF"/>
    <w:rsid w:val="16825D88"/>
    <w:rsid w:val="1705494D"/>
    <w:rsid w:val="172371BF"/>
    <w:rsid w:val="17B64226"/>
    <w:rsid w:val="17C00DE8"/>
    <w:rsid w:val="17EB0021"/>
    <w:rsid w:val="17ED23DB"/>
    <w:rsid w:val="17FDEBCC"/>
    <w:rsid w:val="18ED2C23"/>
    <w:rsid w:val="1A032DAF"/>
    <w:rsid w:val="1A2B5E44"/>
    <w:rsid w:val="1B0C23BA"/>
    <w:rsid w:val="1B31239E"/>
    <w:rsid w:val="1BE82794"/>
    <w:rsid w:val="1C735482"/>
    <w:rsid w:val="1D392227"/>
    <w:rsid w:val="1D927B8A"/>
    <w:rsid w:val="1DC4054E"/>
    <w:rsid w:val="1DCD9390"/>
    <w:rsid w:val="1E470974"/>
    <w:rsid w:val="1F635C1C"/>
    <w:rsid w:val="1FC54F1B"/>
    <w:rsid w:val="1FDE7095"/>
    <w:rsid w:val="1FF785F7"/>
    <w:rsid w:val="200A6285"/>
    <w:rsid w:val="201C7BAC"/>
    <w:rsid w:val="20360DAC"/>
    <w:rsid w:val="20754E1E"/>
    <w:rsid w:val="20CC4C52"/>
    <w:rsid w:val="23827B31"/>
    <w:rsid w:val="24334105"/>
    <w:rsid w:val="24341072"/>
    <w:rsid w:val="24856652"/>
    <w:rsid w:val="24880BAC"/>
    <w:rsid w:val="24AF5124"/>
    <w:rsid w:val="25257535"/>
    <w:rsid w:val="25F770E6"/>
    <w:rsid w:val="25FF611A"/>
    <w:rsid w:val="262007EE"/>
    <w:rsid w:val="278EE1CC"/>
    <w:rsid w:val="282638AE"/>
    <w:rsid w:val="298E3F78"/>
    <w:rsid w:val="2AEF916F"/>
    <w:rsid w:val="2B033E75"/>
    <w:rsid w:val="2B811C0D"/>
    <w:rsid w:val="2BE7A590"/>
    <w:rsid w:val="2C0940A4"/>
    <w:rsid w:val="2CB417D4"/>
    <w:rsid w:val="2CE275EC"/>
    <w:rsid w:val="2D265BF9"/>
    <w:rsid w:val="2D890DD5"/>
    <w:rsid w:val="2DFE349B"/>
    <w:rsid w:val="2E443CFB"/>
    <w:rsid w:val="2E780D30"/>
    <w:rsid w:val="2E9FBD2A"/>
    <w:rsid w:val="2EA82C65"/>
    <w:rsid w:val="2ED51684"/>
    <w:rsid w:val="2FBF2292"/>
    <w:rsid w:val="2FE73282"/>
    <w:rsid w:val="2FFA4887"/>
    <w:rsid w:val="30730B03"/>
    <w:rsid w:val="30F54895"/>
    <w:rsid w:val="30F73280"/>
    <w:rsid w:val="313F359C"/>
    <w:rsid w:val="32EF082C"/>
    <w:rsid w:val="33632298"/>
    <w:rsid w:val="33DD3FEC"/>
    <w:rsid w:val="33FFE2CA"/>
    <w:rsid w:val="3485085C"/>
    <w:rsid w:val="34FF79DC"/>
    <w:rsid w:val="37105574"/>
    <w:rsid w:val="385F6CB0"/>
    <w:rsid w:val="394250FE"/>
    <w:rsid w:val="39522D95"/>
    <w:rsid w:val="399BF35A"/>
    <w:rsid w:val="3A2E6B37"/>
    <w:rsid w:val="3AA46F88"/>
    <w:rsid w:val="3B2F34B8"/>
    <w:rsid w:val="3BBF0739"/>
    <w:rsid w:val="3BD0577C"/>
    <w:rsid w:val="3D775523"/>
    <w:rsid w:val="3DEF361C"/>
    <w:rsid w:val="3E4B1336"/>
    <w:rsid w:val="3E7F993B"/>
    <w:rsid w:val="3EB75D31"/>
    <w:rsid w:val="400535D6"/>
    <w:rsid w:val="40612267"/>
    <w:rsid w:val="41014425"/>
    <w:rsid w:val="418C54E0"/>
    <w:rsid w:val="42814A1B"/>
    <w:rsid w:val="4320019C"/>
    <w:rsid w:val="43770C62"/>
    <w:rsid w:val="445906D3"/>
    <w:rsid w:val="454118D1"/>
    <w:rsid w:val="45EFBD18"/>
    <w:rsid w:val="468B4908"/>
    <w:rsid w:val="48373BA1"/>
    <w:rsid w:val="488022C5"/>
    <w:rsid w:val="48CE11C6"/>
    <w:rsid w:val="49C7586A"/>
    <w:rsid w:val="4C275DFC"/>
    <w:rsid w:val="4C56601E"/>
    <w:rsid w:val="4C8A5D4C"/>
    <w:rsid w:val="4E153EB5"/>
    <w:rsid w:val="4E217FEA"/>
    <w:rsid w:val="4E2E5679"/>
    <w:rsid w:val="4E7F3275"/>
    <w:rsid w:val="4E9FFCB7"/>
    <w:rsid w:val="4EFB14FB"/>
    <w:rsid w:val="4F4F30C9"/>
    <w:rsid w:val="4FFB971E"/>
    <w:rsid w:val="50A71446"/>
    <w:rsid w:val="50B16C0C"/>
    <w:rsid w:val="50F365E7"/>
    <w:rsid w:val="51C37ACF"/>
    <w:rsid w:val="536073E3"/>
    <w:rsid w:val="54286AAD"/>
    <w:rsid w:val="54DF565B"/>
    <w:rsid w:val="54F607C3"/>
    <w:rsid w:val="551F3A7C"/>
    <w:rsid w:val="555E09FA"/>
    <w:rsid w:val="55BDBFB7"/>
    <w:rsid w:val="5A413195"/>
    <w:rsid w:val="5B331EC8"/>
    <w:rsid w:val="5BAF82A3"/>
    <w:rsid w:val="5BBFD1F3"/>
    <w:rsid w:val="5BBFE77C"/>
    <w:rsid w:val="5C4D6969"/>
    <w:rsid w:val="5D6808B8"/>
    <w:rsid w:val="5D707359"/>
    <w:rsid w:val="5D927ACB"/>
    <w:rsid w:val="5D9655C8"/>
    <w:rsid w:val="5D9C23CC"/>
    <w:rsid w:val="5DF363F2"/>
    <w:rsid w:val="5E032B3F"/>
    <w:rsid w:val="5E055233"/>
    <w:rsid w:val="5E3237C1"/>
    <w:rsid w:val="5E697F19"/>
    <w:rsid w:val="5EFFAAEB"/>
    <w:rsid w:val="5F3715C2"/>
    <w:rsid w:val="5F7FF644"/>
    <w:rsid w:val="5FFD601B"/>
    <w:rsid w:val="602B18CB"/>
    <w:rsid w:val="603F58FB"/>
    <w:rsid w:val="607927DA"/>
    <w:rsid w:val="611C38D4"/>
    <w:rsid w:val="62BBED69"/>
    <w:rsid w:val="633D546F"/>
    <w:rsid w:val="63AA1E11"/>
    <w:rsid w:val="63BC3631"/>
    <w:rsid w:val="645D6EAA"/>
    <w:rsid w:val="65964ABA"/>
    <w:rsid w:val="67E19FCE"/>
    <w:rsid w:val="688443E8"/>
    <w:rsid w:val="68E00117"/>
    <w:rsid w:val="690C5092"/>
    <w:rsid w:val="692702F1"/>
    <w:rsid w:val="69302F01"/>
    <w:rsid w:val="69860CDC"/>
    <w:rsid w:val="69DA02A1"/>
    <w:rsid w:val="6A32608D"/>
    <w:rsid w:val="6AA04B2B"/>
    <w:rsid w:val="6AB403CB"/>
    <w:rsid w:val="6ABB3B40"/>
    <w:rsid w:val="6AEFD366"/>
    <w:rsid w:val="6B9239E4"/>
    <w:rsid w:val="6BB04EC6"/>
    <w:rsid w:val="6BE56666"/>
    <w:rsid w:val="6D276706"/>
    <w:rsid w:val="6D692281"/>
    <w:rsid w:val="6DA76A7C"/>
    <w:rsid w:val="6DD13E8D"/>
    <w:rsid w:val="6E7375C5"/>
    <w:rsid w:val="6EBB5191"/>
    <w:rsid w:val="6F67B8DB"/>
    <w:rsid w:val="6F9FEBBE"/>
    <w:rsid w:val="6FF75AC8"/>
    <w:rsid w:val="6FFFEE2C"/>
    <w:rsid w:val="71624A65"/>
    <w:rsid w:val="71B0660E"/>
    <w:rsid w:val="71D500B6"/>
    <w:rsid w:val="72233FC4"/>
    <w:rsid w:val="73406012"/>
    <w:rsid w:val="736D3206"/>
    <w:rsid w:val="737F54BC"/>
    <w:rsid w:val="738D09B2"/>
    <w:rsid w:val="73BFFDF0"/>
    <w:rsid w:val="742F4960"/>
    <w:rsid w:val="749004E5"/>
    <w:rsid w:val="74B44E65"/>
    <w:rsid w:val="74C91492"/>
    <w:rsid w:val="74FB3D57"/>
    <w:rsid w:val="74FF4AB9"/>
    <w:rsid w:val="753E76AE"/>
    <w:rsid w:val="75799871"/>
    <w:rsid w:val="75D4705E"/>
    <w:rsid w:val="75FB4A57"/>
    <w:rsid w:val="76FB263B"/>
    <w:rsid w:val="77FA53E7"/>
    <w:rsid w:val="77FB5CFA"/>
    <w:rsid w:val="77FC61DA"/>
    <w:rsid w:val="791F7D16"/>
    <w:rsid w:val="79238062"/>
    <w:rsid w:val="79260099"/>
    <w:rsid w:val="79720172"/>
    <w:rsid w:val="799E680F"/>
    <w:rsid w:val="79D52A53"/>
    <w:rsid w:val="79DA35C0"/>
    <w:rsid w:val="7A1B20CC"/>
    <w:rsid w:val="7A57222A"/>
    <w:rsid w:val="7A8F43AA"/>
    <w:rsid w:val="7AEFFADC"/>
    <w:rsid w:val="7AFF7208"/>
    <w:rsid w:val="7B1C4285"/>
    <w:rsid w:val="7B32E547"/>
    <w:rsid w:val="7B6BFDB7"/>
    <w:rsid w:val="7B6E9535"/>
    <w:rsid w:val="7B9E134C"/>
    <w:rsid w:val="7BFF6733"/>
    <w:rsid w:val="7D607933"/>
    <w:rsid w:val="7D75BE8A"/>
    <w:rsid w:val="7D7786AE"/>
    <w:rsid w:val="7DF07433"/>
    <w:rsid w:val="7DFD5ACF"/>
    <w:rsid w:val="7DFFE05C"/>
    <w:rsid w:val="7E5AA938"/>
    <w:rsid w:val="7E7D161A"/>
    <w:rsid w:val="7EBBAE9E"/>
    <w:rsid w:val="7EF663FF"/>
    <w:rsid w:val="7EF7FD03"/>
    <w:rsid w:val="7EFF9909"/>
    <w:rsid w:val="7FA73EBA"/>
    <w:rsid w:val="7FCF7E19"/>
    <w:rsid w:val="7FE6AF4D"/>
    <w:rsid w:val="7FED429F"/>
    <w:rsid w:val="7FF6E2DD"/>
    <w:rsid w:val="7FF8C83C"/>
    <w:rsid w:val="7FFD1E98"/>
    <w:rsid w:val="7FFF6A09"/>
    <w:rsid w:val="966794AE"/>
    <w:rsid w:val="9C7F4E37"/>
    <w:rsid w:val="9EB9C514"/>
    <w:rsid w:val="9F7F0DB5"/>
    <w:rsid w:val="9FFE1359"/>
    <w:rsid w:val="ABD83ADF"/>
    <w:rsid w:val="B6DF40C8"/>
    <w:rsid w:val="B7FF4B74"/>
    <w:rsid w:val="B9FA1BBD"/>
    <w:rsid w:val="BBDD376A"/>
    <w:rsid w:val="BBFE60BE"/>
    <w:rsid w:val="BC9F18FA"/>
    <w:rsid w:val="BEDB08E8"/>
    <w:rsid w:val="BEFE1CA4"/>
    <w:rsid w:val="BF5A5962"/>
    <w:rsid w:val="BF763E25"/>
    <w:rsid w:val="BFAF7E06"/>
    <w:rsid w:val="BFBB14A5"/>
    <w:rsid w:val="C3455D9A"/>
    <w:rsid w:val="CBEDAA53"/>
    <w:rsid w:val="CFB11427"/>
    <w:rsid w:val="D6DFBAFA"/>
    <w:rsid w:val="D7DB7515"/>
    <w:rsid w:val="D7DF8037"/>
    <w:rsid w:val="D7E731C2"/>
    <w:rsid w:val="D8F739A0"/>
    <w:rsid w:val="DDB722F6"/>
    <w:rsid w:val="DDBF990D"/>
    <w:rsid w:val="DDFC56DE"/>
    <w:rsid w:val="DFBA763A"/>
    <w:rsid w:val="E2B7738B"/>
    <w:rsid w:val="E8F72671"/>
    <w:rsid w:val="EA65B909"/>
    <w:rsid w:val="EAEF9931"/>
    <w:rsid w:val="EAFF49D6"/>
    <w:rsid w:val="EBAB697F"/>
    <w:rsid w:val="EBBF9460"/>
    <w:rsid w:val="EBFB3D27"/>
    <w:rsid w:val="ECDDC94F"/>
    <w:rsid w:val="ECF74BDC"/>
    <w:rsid w:val="ED5FEA41"/>
    <w:rsid w:val="EE6B78D8"/>
    <w:rsid w:val="EEF67245"/>
    <w:rsid w:val="EF6FBAEB"/>
    <w:rsid w:val="EF7ED171"/>
    <w:rsid w:val="EF9B097B"/>
    <w:rsid w:val="EFBA390F"/>
    <w:rsid w:val="EFBB8522"/>
    <w:rsid w:val="EFC73BCB"/>
    <w:rsid w:val="EFD33567"/>
    <w:rsid w:val="EFF7B35B"/>
    <w:rsid w:val="EFFB779D"/>
    <w:rsid w:val="F27F54B1"/>
    <w:rsid w:val="F3DF21D1"/>
    <w:rsid w:val="F56F58AD"/>
    <w:rsid w:val="F67F047E"/>
    <w:rsid w:val="F73F5A99"/>
    <w:rsid w:val="F774DCEB"/>
    <w:rsid w:val="F77CF695"/>
    <w:rsid w:val="F77FDF8F"/>
    <w:rsid w:val="F7AB89E8"/>
    <w:rsid w:val="F7BFAEDD"/>
    <w:rsid w:val="F7E39D9B"/>
    <w:rsid w:val="F7E7CA3D"/>
    <w:rsid w:val="F7F709E5"/>
    <w:rsid w:val="F9DD5E3A"/>
    <w:rsid w:val="FAA7A322"/>
    <w:rsid w:val="FAAE4D8B"/>
    <w:rsid w:val="FB67BF34"/>
    <w:rsid w:val="FBA9CB94"/>
    <w:rsid w:val="FC8EF782"/>
    <w:rsid w:val="FCE69651"/>
    <w:rsid w:val="FCF38E4F"/>
    <w:rsid w:val="FD7E9CFF"/>
    <w:rsid w:val="FDBB7DC8"/>
    <w:rsid w:val="FDC7BBF5"/>
    <w:rsid w:val="FDEF010D"/>
    <w:rsid w:val="FE679186"/>
    <w:rsid w:val="FE6F98E6"/>
    <w:rsid w:val="FE7FC8F7"/>
    <w:rsid w:val="FE9F53C6"/>
    <w:rsid w:val="FEBE99CA"/>
    <w:rsid w:val="FEFFC23C"/>
    <w:rsid w:val="FF3F94E8"/>
    <w:rsid w:val="FF7EF01A"/>
    <w:rsid w:val="FFA7C849"/>
    <w:rsid w:val="FFBBDCD8"/>
    <w:rsid w:val="FFC7A69C"/>
    <w:rsid w:val="FFCFE719"/>
    <w:rsid w:val="FFE708A3"/>
    <w:rsid w:val="FFEEBAF5"/>
    <w:rsid w:val="FFEFF365"/>
    <w:rsid w:val="FFF77511"/>
    <w:rsid w:val="FFFED5AA"/>
    <w:rsid w:val="FFFF611A"/>
    <w:rsid w:val="FFFF9DE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heme="minorBidi"/>
      <w:kern w:val="2"/>
      <w:sz w:val="32"/>
      <w:szCs w:val="22"/>
      <w:lang w:val="en-US" w:eastAsia="zh-CN" w:bidi="ar-SA"/>
    </w:rPr>
  </w:style>
  <w:style w:type="paragraph" w:styleId="3">
    <w:name w:val="heading 1"/>
    <w:basedOn w:val="1"/>
    <w:next w:val="1"/>
    <w:link w:val="24"/>
    <w:qFormat/>
    <w:uiPriority w:val="0"/>
    <w:pPr>
      <w:keepNext w:val="0"/>
      <w:keepLines w:val="0"/>
      <w:spacing w:beforeLines="0" w:beforeAutospacing="0" w:afterLines="0" w:afterAutospacing="0" w:line="600" w:lineRule="exact"/>
      <w:outlineLvl w:val="0"/>
    </w:pPr>
    <w:rPr>
      <w:rFonts w:eastAsia="黑体"/>
      <w:kern w:val="44"/>
    </w:rPr>
  </w:style>
  <w:style w:type="paragraph" w:styleId="4">
    <w:name w:val="heading 2"/>
    <w:basedOn w:val="1"/>
    <w:next w:val="1"/>
    <w:link w:val="22"/>
    <w:unhideWhenUsed/>
    <w:qFormat/>
    <w:uiPriority w:val="0"/>
    <w:pPr>
      <w:keepNext w:val="0"/>
      <w:keepLines w:val="0"/>
      <w:spacing w:line="588" w:lineRule="exact"/>
      <w:ind w:firstLine="643" w:firstLineChars="200"/>
      <w:outlineLvl w:val="1"/>
    </w:pPr>
    <w:rPr>
      <w:rFonts w:ascii="Times New Roman" w:hAnsi="Times New Roman" w:eastAsia="方正楷体_GBK" w:cs="Times New Roman"/>
      <w:bCs/>
      <w:color w:val="000000"/>
      <w:szCs w:val="32"/>
    </w:rPr>
  </w:style>
  <w:style w:type="paragraph" w:styleId="5">
    <w:name w:val="heading 3"/>
    <w:basedOn w:val="1"/>
    <w:next w:val="1"/>
    <w:link w:val="23"/>
    <w:unhideWhenUsed/>
    <w:qFormat/>
    <w:uiPriority w:val="0"/>
    <w:pPr>
      <w:adjustRightInd w:val="0"/>
      <w:ind w:firstLine="643"/>
      <w:outlineLvl w:val="2"/>
    </w:pPr>
    <w:rPr>
      <w:b/>
      <w:szCs w:val="30"/>
    </w:rPr>
  </w:style>
  <w:style w:type="paragraph" w:styleId="6">
    <w:name w:val="heading 4"/>
    <w:basedOn w:val="1"/>
    <w:next w:val="1"/>
    <w:semiHidden/>
    <w:unhideWhenUsed/>
    <w:qFormat/>
    <w:uiPriority w:val="0"/>
    <w:pPr>
      <w:keepNext/>
      <w:keepLines/>
      <w:spacing w:before="0" w:beforeLines="0" w:beforeAutospacing="0" w:after="0" w:afterLines="0" w:afterAutospacing="0" w:line="600" w:lineRule="exact"/>
      <w:ind w:left="0" w:firstLine="964" w:firstLineChars="200"/>
      <w:outlineLvl w:val="3"/>
    </w:pPr>
    <w:rPr>
      <w:rFonts w:ascii="Times New Roman" w:hAnsi="Times New Roman"/>
    </w:rPr>
  </w:style>
  <w:style w:type="paragraph" w:styleId="7">
    <w:name w:val="heading 5"/>
    <w:basedOn w:val="1"/>
    <w:next w:val="1"/>
    <w:semiHidden/>
    <w:unhideWhenUsed/>
    <w:qFormat/>
    <w:uiPriority w:val="0"/>
    <w:pPr>
      <w:keepNext/>
      <w:keepLines/>
      <w:spacing w:beforeLines="0" w:beforeAutospacing="0" w:afterLines="0" w:afterAutospacing="0" w:line="600" w:lineRule="exact"/>
      <w:ind w:left="0" w:firstLine="883" w:firstLineChars="200"/>
      <w:outlineLvl w:val="4"/>
    </w:pPr>
    <w:rPr>
      <w:rFonts w:ascii="Arial" w:hAnsi="Arial" w:cs="Arial"/>
      <w:b/>
      <w:snapToGrid w:val="0"/>
      <w:color w:val="000000"/>
      <w:kern w:val="0"/>
      <w:sz w:val="32"/>
      <w:szCs w:val="21"/>
    </w:rPr>
  </w:style>
  <w:style w:type="paragraph" w:styleId="8">
    <w:name w:val="heading 6"/>
    <w:basedOn w:val="1"/>
    <w:next w:val="1"/>
    <w:semiHidden/>
    <w:unhideWhenUsed/>
    <w:qFormat/>
    <w:uiPriority w:val="0"/>
    <w:pPr>
      <w:keepNext/>
      <w:keepLines/>
      <w:spacing w:before="240" w:beforeLines="0" w:beforeAutospacing="0" w:after="64" w:afterLines="0" w:afterAutospacing="0" w:line="317" w:lineRule="auto"/>
      <w:ind w:left="1151" w:hanging="1151" w:firstLineChars="0"/>
      <w:outlineLvl w:val="5"/>
    </w:pPr>
    <w:rPr>
      <w:rFonts w:ascii="Arial" w:hAnsi="Arial" w:eastAsia="黑体" w:cs="Times New Roman"/>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400" w:lineRule="exact"/>
      <w:ind w:left="0" w:firstLine="643" w:firstLineChars="200"/>
      <w:outlineLvl w:val="6"/>
    </w:pPr>
    <w:rPr>
      <w:rFonts w:ascii="Times New Roman" w:hAnsi="Times New Roman" w:eastAsia="仿宋_GB2312"/>
      <w:b/>
      <w:sz w:val="32"/>
      <w:szCs w:val="22"/>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qFormat/>
    <w:uiPriority w:val="1"/>
  </w:style>
  <w:style w:type="table" w:default="1" w:styleId="1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12">
    <w:name w:val="caption"/>
    <w:basedOn w:val="1"/>
    <w:next w:val="1"/>
    <w:link w:val="26"/>
    <w:semiHidden/>
    <w:unhideWhenUsed/>
    <w:qFormat/>
    <w:uiPriority w:val="0"/>
    <w:pPr>
      <w:keepNext w:val="0"/>
      <w:keepLines w:val="0"/>
      <w:widowControl w:val="0"/>
      <w:suppressLineNumbers w:val="0"/>
      <w:spacing w:before="0" w:beforeAutospacing="0" w:after="0" w:afterAutospacing="0" w:line="600" w:lineRule="exact"/>
      <w:ind w:left="0" w:right="0" w:firstLine="0" w:firstLineChars="0"/>
      <w:jc w:val="center"/>
    </w:pPr>
    <w:rPr>
      <w:rFonts w:ascii="Times New Roman" w:hAnsi="Times New Roman" w:eastAsia="方正黑体_GBK" w:cs="Times New Roman"/>
      <w:sz w:val="28"/>
      <w:szCs w:val="28"/>
      <w:lang w:bidi="ar"/>
    </w:rPr>
  </w:style>
  <w:style w:type="paragraph" w:styleId="13">
    <w:name w:val="Document Map"/>
    <w:basedOn w:val="1"/>
    <w:qFormat/>
    <w:uiPriority w:val="0"/>
    <w:pPr>
      <w:shd w:val="clear" w:color="auto" w:fill="000080"/>
    </w:pPr>
  </w:style>
  <w:style w:type="paragraph" w:styleId="14">
    <w:name w:val="Plain Text"/>
    <w:basedOn w:val="1"/>
    <w:next w:val="1"/>
    <w:unhideWhenUsed/>
    <w:qFormat/>
    <w:uiPriority w:val="99"/>
    <w:rPr>
      <w:rFonts w:ascii="宋体" w:hAnsi="Courier New"/>
    </w:rPr>
  </w:style>
  <w:style w:type="paragraph" w:styleId="15">
    <w:name w:val="footer"/>
    <w:basedOn w:val="1"/>
    <w:qFormat/>
    <w:uiPriority w:val="0"/>
    <w:pPr>
      <w:tabs>
        <w:tab w:val="center" w:pos="4153"/>
        <w:tab w:val="right" w:pos="8306"/>
      </w:tabs>
      <w:snapToGrid w:val="0"/>
      <w:jc w:val="left"/>
    </w:pPr>
    <w:rPr>
      <w:rFonts w:ascii="Times New Roman" w:hAnsi="Times New Roman"/>
      <w:sz w:val="24"/>
    </w:rPr>
  </w:style>
  <w:style w:type="paragraph" w:styleId="16">
    <w:name w:val="header"/>
    <w:basedOn w:val="1"/>
    <w:next w:val="13"/>
    <w:link w:val="2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tLeast"/>
      <w:jc w:val="center"/>
    </w:pPr>
    <w:rPr>
      <w:rFonts w:ascii="Times New Roman" w:hAnsi="Times New Roman"/>
      <w:sz w:val="18"/>
      <w:szCs w:val="18"/>
    </w:rPr>
  </w:style>
  <w:style w:type="paragraph" w:styleId="17">
    <w:name w:val="toc 1"/>
    <w:basedOn w:val="1"/>
    <w:next w:val="1"/>
    <w:qFormat/>
    <w:uiPriority w:val="0"/>
    <w:pPr>
      <w:snapToGrid w:val="0"/>
      <w:spacing w:line="600" w:lineRule="exact"/>
      <w:ind w:firstLine="0" w:firstLineChars="0"/>
    </w:pPr>
    <w:rPr>
      <w:rFonts w:ascii="Times New Roman" w:hAnsi="Times New Roman" w:eastAsia="方正楷体_GBK"/>
      <w:bCs/>
      <w:caps/>
    </w:rPr>
  </w:style>
  <w:style w:type="paragraph" w:styleId="18">
    <w:name w:val="toc 2"/>
    <w:basedOn w:val="1"/>
    <w:next w:val="1"/>
    <w:qFormat/>
    <w:uiPriority w:val="0"/>
    <w:pPr>
      <w:tabs>
        <w:tab w:val="right" w:leader="dot" w:pos="8296"/>
      </w:tabs>
      <w:spacing w:line="600" w:lineRule="exact"/>
      <w:ind w:left="600" w:leftChars="200" w:firstLine="0" w:firstLineChars="0"/>
    </w:pPr>
    <w:rPr>
      <w:rFonts w:ascii="Times New Roman" w:hAnsi="Times New Roman"/>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2">
    <w:name w:val="标题 2 Char"/>
    <w:link w:val="4"/>
    <w:qFormat/>
    <w:uiPriority w:val="0"/>
    <w:rPr>
      <w:rFonts w:ascii="Times New Roman" w:hAnsi="Times New Roman" w:eastAsia="方正楷体_GBK" w:cs="Times New Roman"/>
      <w:b/>
      <w:bCs/>
      <w:color w:val="000000"/>
      <w:kern w:val="2"/>
      <w:sz w:val="30"/>
      <w:szCs w:val="32"/>
    </w:rPr>
  </w:style>
  <w:style w:type="character" w:customStyle="1" w:styleId="23">
    <w:name w:val="标题 3 字符"/>
    <w:link w:val="5"/>
    <w:qFormat/>
    <w:uiPriority w:val="9"/>
    <w:rPr>
      <w:rFonts w:ascii="Times New Roman" w:hAnsi="Times New Roman" w:eastAsia="方正仿宋_GBK" w:cs="Times New Roman"/>
      <w:b/>
      <w:szCs w:val="30"/>
    </w:rPr>
  </w:style>
  <w:style w:type="character" w:customStyle="1" w:styleId="24">
    <w:name w:val="标题 1 字符"/>
    <w:link w:val="3"/>
    <w:qFormat/>
    <w:uiPriority w:val="9"/>
    <w:rPr>
      <w:rFonts w:ascii="Times New Roman" w:hAnsi="Times New Roman" w:eastAsia="黑体" w:cstheme="minorBidi"/>
      <w:b/>
      <w:bCs/>
      <w:kern w:val="44"/>
      <w:sz w:val="32"/>
      <w:szCs w:val="44"/>
    </w:rPr>
  </w:style>
  <w:style w:type="character" w:customStyle="1" w:styleId="25">
    <w:name w:val="页眉 字符"/>
    <w:basedOn w:val="21"/>
    <w:link w:val="16"/>
    <w:qFormat/>
    <w:uiPriority w:val="0"/>
    <w:rPr>
      <w:rFonts w:ascii="Times New Roman" w:hAnsi="Times New Roman" w:eastAsia="仿宋_GB2312"/>
      <w:kern w:val="2"/>
      <w:sz w:val="18"/>
      <w:szCs w:val="18"/>
    </w:rPr>
  </w:style>
  <w:style w:type="character" w:customStyle="1" w:styleId="26">
    <w:name w:val="题注 Char"/>
    <w:link w:val="12"/>
    <w:qFormat/>
    <w:uiPriority w:val="0"/>
    <w:rPr>
      <w:rFonts w:ascii="Times New Roman" w:hAnsi="Times New Roman" w:eastAsia="方正黑体_GBK" w:cs="Times New Roman"/>
      <w:sz w:val="28"/>
      <w:szCs w:val="28"/>
      <w:lang w:bidi="ar"/>
    </w:rPr>
  </w:style>
  <w:style w:type="paragraph" w:customStyle="1" w:styleId="27">
    <w:name w:val="表文字"/>
    <w:basedOn w:val="1"/>
    <w:qFormat/>
    <w:uiPriority w:val="0"/>
    <w:rPr>
      <w:rFonts w:ascii="Times New Roman" w:hAnsi="Times New Roman"/>
      <w:sz w:val="28"/>
      <w:szCs w:val="22"/>
    </w:rPr>
  </w:style>
  <w:style w:type="character" w:customStyle="1" w:styleId="28">
    <w:name w:val="font41"/>
    <w:basedOn w:val="21"/>
    <w:qFormat/>
    <w:uiPriority w:val="0"/>
    <w:rPr>
      <w:rFonts w:hint="eastAsia" w:ascii="宋体" w:hAnsi="宋体" w:eastAsia="宋体" w:cs="宋体"/>
      <w:color w:val="000000"/>
      <w:sz w:val="21"/>
      <w:szCs w:val="21"/>
      <w:u w:val="none"/>
    </w:rPr>
  </w:style>
  <w:style w:type="paragraph" w:styleId="29">
    <w:name w:val="List Paragraph"/>
    <w:basedOn w:val="1"/>
    <w:qFormat/>
    <w:uiPriority w:val="34"/>
    <w:pPr>
      <w:ind w:firstLine="420" w:firstLineChars="200"/>
    </w:pPr>
  </w:style>
  <w:style w:type="character" w:customStyle="1" w:styleId="30">
    <w:name w:val="font71"/>
    <w:basedOn w:val="21"/>
    <w:qFormat/>
    <w:uiPriority w:val="0"/>
    <w:rPr>
      <w:rFonts w:hint="default" w:ascii="Times New Roman" w:hAnsi="Times New Roman" w:cs="Times New Roman"/>
      <w:color w:val="000000"/>
      <w:sz w:val="20"/>
      <w:szCs w:val="20"/>
      <w:u w:val="none"/>
    </w:rPr>
  </w:style>
  <w:style w:type="character" w:customStyle="1" w:styleId="31">
    <w:name w:val="font51"/>
    <w:basedOn w:val="21"/>
    <w:qFormat/>
    <w:uiPriority w:val="0"/>
    <w:rPr>
      <w:rFonts w:hint="eastAsia" w:ascii="宋体" w:hAnsi="宋体" w:eastAsia="宋体" w:cs="宋体"/>
      <w:color w:val="000000"/>
      <w:sz w:val="20"/>
      <w:szCs w:val="20"/>
      <w:u w:val="none"/>
    </w:rPr>
  </w:style>
  <w:style w:type="character" w:customStyle="1" w:styleId="32">
    <w:name w:val="font31"/>
    <w:basedOn w:val="21"/>
    <w:qFormat/>
    <w:uiPriority w:val="0"/>
    <w:rPr>
      <w:rFonts w:hint="eastAsia" w:ascii="仿宋_GB2312" w:eastAsia="仿宋_GB2312" w:cs="仿宋_GB2312"/>
      <w:b/>
      <w:bCs/>
      <w:color w:val="000000"/>
      <w:sz w:val="22"/>
      <w:szCs w:val="22"/>
      <w:u w:val="none"/>
    </w:rPr>
  </w:style>
  <w:style w:type="character" w:customStyle="1" w:styleId="33">
    <w:name w:val="font21"/>
    <w:basedOn w:val="21"/>
    <w:qFormat/>
    <w:uiPriority w:val="0"/>
    <w:rPr>
      <w:rFonts w:hint="eastAsia" w:ascii="仿宋_GB2312" w:eastAsia="仿宋_GB2312" w:cs="仿宋_GB2312"/>
      <w:color w:val="000000"/>
      <w:sz w:val="22"/>
      <w:szCs w:val="22"/>
      <w:u w:val="none"/>
    </w:rPr>
  </w:style>
  <w:style w:type="character" w:customStyle="1" w:styleId="34">
    <w:name w:val="font11"/>
    <w:basedOn w:val="21"/>
    <w:qFormat/>
    <w:uiPriority w:val="0"/>
    <w:rPr>
      <w:rFonts w:hint="default" w:ascii="Times New Roman" w:hAnsi="Times New Roman" w:cs="Times New Roman"/>
      <w:color w:val="000000"/>
      <w:sz w:val="24"/>
      <w:szCs w:val="24"/>
      <w:u w:val="none"/>
    </w:rPr>
  </w:style>
  <w:style w:type="paragraph" w:customStyle="1" w:styleId="35">
    <w:name w:val="_Style 4"/>
    <w:basedOn w:val="1"/>
    <w:qFormat/>
    <w:uiPriority w:val="0"/>
    <w:rPr>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Kingsoft</Company>
  <Pages>13</Pages>
  <Words>5681</Words>
  <Characters>5816</Characters>
  <Lines>1</Lines>
  <Paragraphs>1</Paragraphs>
  <TotalTime>0</TotalTime>
  <ScaleCrop>false</ScaleCrop>
  <LinksUpToDate>false</LinksUpToDate>
  <CharactersWithSpaces>5818</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2014-11-14T20:08:00Z</dcterms:created>
  <dc:creator>长安月江南雨</dc:creator>
  <cp:lastModifiedBy>林婷</cp:lastModifiedBy>
  <cp:lastPrinted>2025-08-13T17:10:00Z</cp:lastPrinted>
  <dcterms:modified xsi:type="dcterms:W3CDTF">2025-09-01T09:00:16Z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19C0807E067EAECD18F0B4680DC7FD81_43</vt:lpwstr>
  </property>
  <property fmtid="{D5CDD505-2E9C-101B-9397-08002B2CF9AE}" pid="4" name="KSOTemplateDocerSaveRecord">
    <vt:lpwstr>eyJoZGlkIjoiNjE2NDQ5NjczMmM3OWI2ZDlhYWQ1ZGJkYWE2MjA2NGIiLCJ1c2VySWQiOiIxODk4Mjc3MTEifQ==</vt:lpwstr>
  </property>
</Properties>
</file>